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A34E" w14:textId="77777777" w:rsidR="006E5097" w:rsidRPr="0098560B" w:rsidRDefault="00E40455" w:rsidP="00B64ACB">
      <w:pPr>
        <w:tabs>
          <w:tab w:val="center" w:pos="4677"/>
          <w:tab w:val="right" w:pos="9355"/>
        </w:tabs>
        <w:spacing w:after="0" w:line="240" w:lineRule="auto"/>
        <w:ind w:firstLine="142"/>
        <w:jc w:val="center"/>
        <w:rPr>
          <w:rFonts w:cs="Times New Roman"/>
          <w:b/>
          <w:outline/>
          <w:color w:val="000000"/>
          <w:sz w:val="32"/>
          <w:szCs w:val="32"/>
          <w14:textOutline w14:w="9525" w14:cap="flat" w14:cmpd="sng" w14:algn="ctr">
            <w14:solidFill>
              <w14:srgbClr w14:val="000000"/>
            </w14:solidFill>
            <w14:prstDash w14:val="solid"/>
            <w14:round/>
          </w14:textOutline>
          <w14:textFill>
            <w14:noFill/>
          </w14:textFill>
        </w:rPr>
      </w:pPr>
      <w:bookmarkStart w:id="0" w:name="_GoBack"/>
      <w:bookmarkEnd w:id="0"/>
      <w:r w:rsidRPr="00887A76">
        <w:rPr>
          <w:rFonts w:cs="Times New Roman"/>
          <w:noProof/>
          <w:szCs w:val="24"/>
          <w:lang w:eastAsia="ru-RU"/>
        </w:rPr>
        <w:drawing>
          <wp:anchor distT="0" distB="0" distL="114300" distR="114300" simplePos="0" relativeHeight="251660288" behindDoc="0" locked="0" layoutInCell="1" allowOverlap="1" wp14:anchorId="630D1B57" wp14:editId="08DED045">
            <wp:simplePos x="0" y="0"/>
            <wp:positionH relativeFrom="column">
              <wp:posOffset>6243</wp:posOffset>
            </wp:positionH>
            <wp:positionV relativeFrom="paragraph">
              <wp:posOffset>165667</wp:posOffset>
            </wp:positionV>
            <wp:extent cx="739302" cy="899009"/>
            <wp:effectExtent l="0" t="0" r="3810" b="0"/>
            <wp:wrapNone/>
            <wp:docPr id="3" name="Рисунок 3" descr="logo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2" cy="899009"/>
                    </a:xfrm>
                    <a:prstGeom prst="rect">
                      <a:avLst/>
                    </a:prstGeom>
                    <a:noFill/>
                  </pic:spPr>
                </pic:pic>
              </a:graphicData>
            </a:graphic>
          </wp:anchor>
        </w:drawing>
      </w:r>
      <w:r w:rsidRPr="00887A76">
        <w:rPr>
          <w:rFonts w:cs="Times New Roman"/>
          <w:noProof/>
          <w:sz w:val="22"/>
        </w:rPr>
        <w:t xml:space="preserve"> </w:t>
      </w:r>
      <w:r w:rsidRPr="0098560B">
        <w:rPr>
          <w:rFonts w:cs="Times New Roman"/>
          <w:b/>
          <w:outline/>
          <w:color w:val="000000"/>
          <w:sz w:val="32"/>
          <w:szCs w:val="32"/>
          <w14:textOutline w14:w="9525" w14:cap="flat" w14:cmpd="sng" w14:algn="ctr">
            <w14:solidFill>
              <w14:srgbClr w14:val="000000"/>
            </w14:solidFill>
            <w14:prstDash w14:val="solid"/>
            <w14:round/>
          </w14:textOutline>
          <w14:textFill>
            <w14:noFill/>
          </w14:textFill>
        </w:rPr>
        <w:t>САМОРЕГУЛИРУЕМАЯ ОРГАНИЗАЦИЯ АУДИТОРОВ</w:t>
      </w:r>
    </w:p>
    <w:p w14:paraId="58B4B4E3" w14:textId="77777777" w:rsidR="006E5097" w:rsidRPr="00887A76" w:rsidRDefault="00E40455">
      <w:pPr>
        <w:pBdr>
          <w:bottom w:val="single" w:sz="12" w:space="1" w:color="auto"/>
        </w:pBdr>
        <w:tabs>
          <w:tab w:val="center" w:pos="4677"/>
          <w:tab w:val="right" w:pos="9355"/>
        </w:tabs>
        <w:spacing w:after="0" w:line="240" w:lineRule="auto"/>
        <w:jc w:val="center"/>
        <w:rPr>
          <w:rFonts w:cs="Times New Roman"/>
          <w:b/>
          <w:sz w:val="44"/>
          <w:szCs w:val="44"/>
        </w:rPr>
      </w:pPr>
      <w:r w:rsidRPr="00887A76">
        <w:rPr>
          <w:rFonts w:cs="Times New Roman"/>
          <w:noProof/>
          <w:sz w:val="22"/>
          <w:lang w:eastAsia="ru-RU"/>
        </w:rPr>
        <w:drawing>
          <wp:anchor distT="0" distB="0" distL="114300" distR="115336" simplePos="0" relativeHeight="251659264" behindDoc="1" locked="0" layoutInCell="1" allowOverlap="1" wp14:anchorId="66E89D9D" wp14:editId="79516050">
            <wp:simplePos x="0" y="0"/>
            <wp:positionH relativeFrom="column">
              <wp:posOffset>5306695</wp:posOffset>
            </wp:positionH>
            <wp:positionV relativeFrom="paragraph">
              <wp:posOffset>109855</wp:posOffset>
            </wp:positionV>
            <wp:extent cx="794619" cy="554355"/>
            <wp:effectExtent l="0" t="0" r="5715" b="0"/>
            <wp:wrapNone/>
            <wp:docPr id="2" name="Рисунок 2" descr="Описание: http://exam-ans.ru/pars_docs/refs/23/22698/22698_html_7acd2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Описание: http://exam-ans.ru/pars_docs/refs/23/22698/22698_html_7acd2675.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4619" cy="554355"/>
                    </a:xfrm>
                    <a:prstGeom prst="rect">
                      <a:avLst/>
                    </a:prstGeom>
                    <a:noFill/>
                    <a:ln>
                      <a:noFill/>
                    </a:ln>
                  </pic:spPr>
                </pic:pic>
              </a:graphicData>
            </a:graphic>
          </wp:anchor>
        </w:drawing>
      </w:r>
      <w:r w:rsidRPr="00887A76">
        <w:rPr>
          <w:rFonts w:cs="Times New Roman"/>
          <w:b/>
          <w:sz w:val="44"/>
          <w:szCs w:val="44"/>
        </w:rPr>
        <w:t>«Российский Союз аудиторов»</w:t>
      </w:r>
    </w:p>
    <w:p w14:paraId="278C423B" w14:textId="77777777" w:rsidR="006E5097" w:rsidRPr="00887A76" w:rsidRDefault="00E40455">
      <w:pPr>
        <w:pBdr>
          <w:bottom w:val="single" w:sz="12" w:space="1" w:color="auto"/>
        </w:pBdr>
        <w:tabs>
          <w:tab w:val="center" w:pos="4677"/>
          <w:tab w:val="right" w:pos="9355"/>
        </w:tabs>
        <w:spacing w:after="0" w:line="500" w:lineRule="exact"/>
        <w:jc w:val="center"/>
        <w:rPr>
          <w:rFonts w:cs="Times New Roman"/>
          <w:b/>
          <w:sz w:val="36"/>
          <w:szCs w:val="36"/>
        </w:rPr>
      </w:pPr>
      <w:r w:rsidRPr="00887A76">
        <w:rPr>
          <w:rFonts w:cs="Times New Roman"/>
          <w:b/>
          <w:sz w:val="36"/>
          <w:szCs w:val="36"/>
        </w:rPr>
        <w:t xml:space="preserve">(Ассоциация) </w:t>
      </w:r>
    </w:p>
    <w:p w14:paraId="4AD59C23" w14:textId="77777777" w:rsidR="006E5097" w:rsidRPr="00887A76" w:rsidRDefault="00E40455">
      <w:pPr>
        <w:pBdr>
          <w:bottom w:val="single" w:sz="12" w:space="1" w:color="auto"/>
        </w:pBdr>
        <w:tabs>
          <w:tab w:val="center" w:pos="4677"/>
          <w:tab w:val="right" w:pos="9355"/>
        </w:tabs>
        <w:spacing w:after="0" w:line="360" w:lineRule="exact"/>
        <w:jc w:val="center"/>
        <w:rPr>
          <w:rFonts w:cs="Times New Roman"/>
          <w:b/>
          <w:sz w:val="44"/>
          <w:szCs w:val="44"/>
        </w:rPr>
      </w:pPr>
      <w:r w:rsidRPr="00887A76">
        <w:rPr>
          <w:rFonts w:cs="Times New Roman"/>
          <w:b/>
          <w:sz w:val="28"/>
          <w:szCs w:val="28"/>
        </w:rPr>
        <w:t>член Международной федерации бухгалтеров (</w:t>
      </w:r>
      <w:r w:rsidRPr="00887A76">
        <w:rPr>
          <w:rFonts w:cs="Times New Roman"/>
          <w:b/>
          <w:sz w:val="28"/>
          <w:szCs w:val="28"/>
          <w:lang w:val="en-US"/>
        </w:rPr>
        <w:t>IFAC</w:t>
      </w:r>
      <w:r w:rsidRPr="00887A76">
        <w:rPr>
          <w:rFonts w:cs="Times New Roman"/>
          <w:b/>
          <w:sz w:val="28"/>
          <w:szCs w:val="28"/>
        </w:rPr>
        <w:t>)</w:t>
      </w:r>
    </w:p>
    <w:p w14:paraId="7FD3C839" w14:textId="77777777" w:rsidR="006E5097" w:rsidRPr="00887A76" w:rsidRDefault="006E5097">
      <w:pPr>
        <w:pStyle w:val="a3"/>
        <w:rPr>
          <w:rFonts w:cs="Times New Roman"/>
        </w:rPr>
      </w:pPr>
    </w:p>
    <w:p w14:paraId="7AB526EB" w14:textId="211CA3B0" w:rsidR="006E5097" w:rsidRPr="00887A76" w:rsidRDefault="00A60597">
      <w:pPr>
        <w:pStyle w:val="a3"/>
        <w:rPr>
          <w:rFonts w:cs="Times New Roman"/>
          <w:color w:val="C00000"/>
        </w:rPr>
      </w:pPr>
      <w:r w:rsidRPr="00887A76">
        <w:rPr>
          <w:rFonts w:cs="Times New Roman"/>
          <w:color w:val="C00000"/>
        </w:rPr>
        <w:t>Дайджест актуальных вопросов аудита</w:t>
      </w:r>
    </w:p>
    <w:p w14:paraId="12A2FB16" w14:textId="77777777" w:rsidR="00A60597" w:rsidRPr="00887A76" w:rsidRDefault="00A60597" w:rsidP="00887A76">
      <w:pPr>
        <w:ind w:firstLine="0"/>
        <w:jc w:val="center"/>
        <w:rPr>
          <w:rFonts w:cs="Times New Roman"/>
        </w:rPr>
      </w:pPr>
      <w:r w:rsidRPr="00887A76">
        <w:rPr>
          <w:rFonts w:cs="Times New Roman"/>
        </w:rPr>
        <w:t>(пилотный номер)</w:t>
      </w:r>
    </w:p>
    <w:p w14:paraId="11873C42" w14:textId="77777777" w:rsidR="006E5097" w:rsidRPr="00887A76" w:rsidRDefault="006E5097">
      <w:pPr>
        <w:pStyle w:val="a3"/>
        <w:rPr>
          <w:rFonts w:cs="Times New Roman"/>
        </w:rPr>
      </w:pPr>
    </w:p>
    <w:p w14:paraId="0C1F6B79" w14:textId="09B68ADC" w:rsidR="006E5097" w:rsidRPr="00887A76" w:rsidRDefault="00E40455">
      <w:pPr>
        <w:pStyle w:val="a3"/>
        <w:rPr>
          <w:rStyle w:val="a7"/>
          <w:rFonts w:cs="Times New Roman"/>
        </w:rPr>
      </w:pPr>
      <w:r w:rsidRPr="00887A76">
        <w:rPr>
          <w:rFonts w:cs="Times New Roman"/>
        </w:rPr>
        <w:t xml:space="preserve">Разъяснения и рекомендации </w:t>
      </w:r>
      <w:r w:rsidR="00A60597" w:rsidRPr="00887A76">
        <w:rPr>
          <w:rFonts w:cs="Times New Roman"/>
        </w:rPr>
        <w:t xml:space="preserve">Комитета </w:t>
      </w:r>
      <w:r w:rsidRPr="00887A76">
        <w:rPr>
          <w:rFonts w:cs="Times New Roman"/>
        </w:rPr>
        <w:t xml:space="preserve">по стандартизации и методологии и </w:t>
      </w:r>
      <w:r w:rsidR="00A60597" w:rsidRPr="00887A76">
        <w:rPr>
          <w:rFonts w:cs="Times New Roman"/>
        </w:rPr>
        <w:t xml:space="preserve">Комитета </w:t>
      </w:r>
      <w:r w:rsidRPr="00887A76">
        <w:rPr>
          <w:rFonts w:cs="Times New Roman"/>
        </w:rPr>
        <w:t>по контролю качества для членов СРО РСА</w:t>
      </w:r>
    </w:p>
    <w:p w14:paraId="2C6ABCFA" w14:textId="77777777" w:rsidR="006E5097" w:rsidRPr="00887A76" w:rsidRDefault="006E5097">
      <w:pPr>
        <w:pStyle w:val="a5"/>
        <w:rPr>
          <w:rStyle w:val="a7"/>
          <w:rFonts w:cs="Times New Roman"/>
        </w:rPr>
      </w:pPr>
    </w:p>
    <w:p w14:paraId="15E08941" w14:textId="24195159" w:rsidR="006E5097" w:rsidRPr="00887A76" w:rsidRDefault="00E40455" w:rsidP="00887A76">
      <w:pPr>
        <w:pStyle w:val="a5"/>
        <w:ind w:firstLine="0"/>
        <w:rPr>
          <w:rStyle w:val="a7"/>
          <w:rFonts w:cs="Times New Roman"/>
        </w:rPr>
      </w:pPr>
      <w:r w:rsidRPr="00887A76">
        <w:rPr>
          <w:rStyle w:val="a7"/>
          <w:rFonts w:cs="Times New Roman"/>
        </w:rPr>
        <w:t>Утв</w:t>
      </w:r>
      <w:r w:rsidR="00887A76">
        <w:rPr>
          <w:rStyle w:val="a7"/>
          <w:rFonts w:cs="Times New Roman"/>
        </w:rPr>
        <w:t>ерждено на совместном заседании</w:t>
      </w:r>
      <w:r w:rsidR="00887A76">
        <w:rPr>
          <w:rStyle w:val="a7"/>
          <w:rFonts w:cs="Times New Roman"/>
        </w:rPr>
        <w:br/>
      </w:r>
      <w:r w:rsidR="00A60597" w:rsidRPr="00887A76">
        <w:rPr>
          <w:rStyle w:val="a7"/>
          <w:rFonts w:cs="Times New Roman"/>
        </w:rPr>
        <w:t xml:space="preserve">Комитета </w:t>
      </w:r>
      <w:r w:rsidRPr="00887A76">
        <w:rPr>
          <w:rStyle w:val="a7"/>
          <w:rFonts w:cs="Times New Roman"/>
        </w:rPr>
        <w:t>по станд</w:t>
      </w:r>
      <w:r w:rsidR="00887A76">
        <w:rPr>
          <w:rStyle w:val="a7"/>
          <w:rFonts w:cs="Times New Roman"/>
        </w:rPr>
        <w:t>артизации и методологии СРО РСА</w:t>
      </w:r>
      <w:r w:rsidR="00887A76">
        <w:rPr>
          <w:rStyle w:val="a7"/>
          <w:rFonts w:cs="Times New Roman"/>
        </w:rPr>
        <w:br/>
      </w:r>
      <w:r w:rsidRPr="00887A76">
        <w:rPr>
          <w:rStyle w:val="a7"/>
          <w:rFonts w:cs="Times New Roman"/>
        </w:rPr>
        <w:t xml:space="preserve">и </w:t>
      </w:r>
      <w:r w:rsidR="00A60597" w:rsidRPr="00887A76">
        <w:rPr>
          <w:rStyle w:val="a7"/>
          <w:rFonts w:cs="Times New Roman"/>
        </w:rPr>
        <w:t xml:space="preserve">Комитета </w:t>
      </w:r>
      <w:r w:rsidRPr="00887A76">
        <w:rPr>
          <w:rStyle w:val="a7"/>
          <w:rFonts w:cs="Times New Roman"/>
        </w:rPr>
        <w:t>по контролю качества СРО РСА 24 мая 2019</w:t>
      </w:r>
      <w:r w:rsidR="00A60597" w:rsidRPr="00887A76">
        <w:rPr>
          <w:rStyle w:val="a7"/>
          <w:rFonts w:cs="Times New Roman"/>
        </w:rPr>
        <w:t xml:space="preserve"> </w:t>
      </w:r>
      <w:r w:rsidRPr="00887A76">
        <w:rPr>
          <w:rStyle w:val="a7"/>
          <w:rFonts w:cs="Times New Roman"/>
        </w:rPr>
        <w:t>г.</w:t>
      </w:r>
    </w:p>
    <w:p w14:paraId="61FE528F" w14:textId="77777777" w:rsidR="006E5097" w:rsidRPr="00887A76" w:rsidRDefault="006E5097">
      <w:pPr>
        <w:rPr>
          <w:rFonts w:cs="Times New Roman"/>
        </w:rPr>
      </w:pPr>
    </w:p>
    <w:p w14:paraId="74B230E1" w14:textId="3BFB89DA" w:rsidR="006E5097" w:rsidRPr="00887A76" w:rsidRDefault="00E40455">
      <w:pPr>
        <w:ind w:firstLine="567"/>
        <w:rPr>
          <w:rFonts w:eastAsia="Calibri" w:cs="Times New Roman"/>
        </w:rPr>
      </w:pPr>
      <w:r w:rsidRPr="00887A76">
        <w:rPr>
          <w:rFonts w:eastAsia="Calibri" w:cs="Times New Roman"/>
        </w:rPr>
        <w:t xml:space="preserve">Настоящие разъяснения и рекомендации по различным вопросам применения законодательства Российской Федерации об аудиторской деятельности сформированы на </w:t>
      </w:r>
      <w:r w:rsidR="00A60597" w:rsidRPr="00887A76">
        <w:rPr>
          <w:rFonts w:eastAsia="Calibri" w:cs="Times New Roman"/>
        </w:rPr>
        <w:t xml:space="preserve">основании </w:t>
      </w:r>
      <w:r w:rsidRPr="00887A76">
        <w:rPr>
          <w:rFonts w:eastAsia="Calibri" w:cs="Times New Roman"/>
        </w:rPr>
        <w:t xml:space="preserve">ответов на типичные вопросы членов СРО РСА. Данный материал носит исключительно информационно-разъяснительный характер, не препятствует членам СРО РСА руководствоваться своим пониманием норм законодательства об аудиторской деятельности. Данный материал не предназначен для использования членами СРО РСА или иными лицами в обосновании своей позиции при возникновении споров с любыми третьими лицами, включая государственные органы. Позиция третьих лиц по указанным вопросам может отличаться от предлагаемой трактовки. </w:t>
      </w:r>
    </w:p>
    <w:p w14:paraId="730A2E62" w14:textId="77777777" w:rsidR="006E5097" w:rsidRPr="006D63F3" w:rsidRDefault="00E40455" w:rsidP="00AF750C">
      <w:pPr>
        <w:pageBreakBefore/>
        <w:ind w:firstLine="0"/>
        <w:jc w:val="center"/>
        <w:rPr>
          <w:rFonts w:cs="Times New Roman"/>
          <w:b/>
          <w:caps/>
          <w:sz w:val="28"/>
          <w:szCs w:val="28"/>
        </w:rPr>
      </w:pPr>
      <w:r w:rsidRPr="006D63F3">
        <w:rPr>
          <w:rFonts w:cs="Times New Roman"/>
          <w:b/>
          <w:caps/>
          <w:sz w:val="28"/>
          <w:szCs w:val="28"/>
        </w:rPr>
        <w:lastRenderedPageBreak/>
        <w:t>Содержание</w:t>
      </w:r>
    </w:p>
    <w:sdt>
      <w:sdtPr>
        <w:rPr>
          <w:rFonts w:ascii="Times New Roman" w:eastAsiaTheme="minorHAnsi" w:hAnsi="Times New Roman" w:cs="Times New Roman"/>
          <w:color w:val="auto"/>
          <w:sz w:val="24"/>
          <w:szCs w:val="22"/>
          <w:lang w:eastAsia="en-US"/>
        </w:rPr>
        <w:id w:val="-989165649"/>
        <w:docPartObj>
          <w:docPartGallery w:val="Table of Contents"/>
          <w:docPartUnique/>
        </w:docPartObj>
      </w:sdtPr>
      <w:sdtEndPr>
        <w:rPr>
          <w:b/>
          <w:bCs/>
        </w:rPr>
      </w:sdtEndPr>
      <w:sdtContent>
        <w:p w14:paraId="68A24F2C" w14:textId="77777777" w:rsidR="006E5097" w:rsidRPr="00887A76" w:rsidRDefault="006E5097">
          <w:pPr>
            <w:pStyle w:val="afb"/>
            <w:rPr>
              <w:rFonts w:ascii="Times New Roman" w:hAnsi="Times New Roman" w:cs="Times New Roman"/>
            </w:rPr>
          </w:pPr>
        </w:p>
        <w:p w14:paraId="388AE475" w14:textId="74937340" w:rsidR="009E63E3" w:rsidRPr="00887A76" w:rsidRDefault="00E40455">
          <w:pPr>
            <w:pStyle w:val="11"/>
            <w:tabs>
              <w:tab w:val="right" w:leader="dot" w:pos="9345"/>
            </w:tabs>
            <w:rPr>
              <w:rFonts w:ascii="Times New Roman" w:eastAsiaTheme="minorEastAsia" w:hAnsi="Times New Roman" w:cs="Times New Roman"/>
              <w:noProof/>
              <w:lang w:eastAsia="ru-RU"/>
            </w:rPr>
          </w:pPr>
          <w:r w:rsidRPr="00887A76">
            <w:rPr>
              <w:rFonts w:ascii="Times New Roman" w:hAnsi="Times New Roman" w:cs="Times New Roman"/>
            </w:rPr>
            <w:fldChar w:fldCharType="begin"/>
          </w:r>
          <w:r w:rsidRPr="00887A76">
            <w:rPr>
              <w:rFonts w:ascii="Times New Roman" w:hAnsi="Times New Roman" w:cs="Times New Roman"/>
            </w:rPr>
            <w:instrText xml:space="preserve"> TOC \o "1-3" \h \z \u </w:instrText>
          </w:r>
          <w:r w:rsidRPr="00887A76">
            <w:rPr>
              <w:rFonts w:ascii="Times New Roman" w:hAnsi="Times New Roman" w:cs="Times New Roman"/>
            </w:rPr>
            <w:fldChar w:fldCharType="separate"/>
          </w:r>
          <w:hyperlink w:anchor="_Toc9603135" w:history="1">
            <w:r w:rsidR="009E63E3" w:rsidRPr="00887A76">
              <w:rPr>
                <w:rStyle w:val="ae"/>
                <w:rFonts w:ascii="Times New Roman" w:hAnsi="Times New Roman" w:cs="Times New Roman"/>
                <w:noProof/>
              </w:rPr>
              <w:t>Определение субъекта ч.3 ст.5 Федерального закона № 307-ФЗ</w:t>
            </w:r>
            <w:r w:rsidR="009E63E3" w:rsidRPr="00887A76">
              <w:rPr>
                <w:rFonts w:ascii="Times New Roman" w:hAnsi="Times New Roman" w:cs="Times New Roman"/>
                <w:noProof/>
                <w:webHidden/>
              </w:rPr>
              <w:tab/>
            </w:r>
            <w:r w:rsidR="004F3A97">
              <w:rPr>
                <w:rFonts w:ascii="Times New Roman" w:hAnsi="Times New Roman" w:cs="Times New Roman"/>
                <w:noProof/>
                <w:webHidden/>
              </w:rPr>
              <w:t>3</w:t>
            </w:r>
          </w:hyperlink>
        </w:p>
        <w:p w14:paraId="436B1BF8" w14:textId="7E15D1F9"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36" w:history="1">
            <w:r w:rsidR="009E63E3" w:rsidRPr="00887A76">
              <w:rPr>
                <w:rStyle w:val="ae"/>
                <w:rFonts w:ascii="Times New Roman" w:hAnsi="Times New Roman" w:cs="Times New Roman"/>
                <w:noProof/>
              </w:rPr>
              <w:t xml:space="preserve">Наименование применимой концепции подготовки финансовой отчетности, отличной от </w:t>
            </w:r>
            <w:r w:rsidR="00887A76" w:rsidRPr="00887A76">
              <w:rPr>
                <w:rStyle w:val="ae"/>
                <w:rFonts w:ascii="Times New Roman" w:hAnsi="Times New Roman" w:cs="Times New Roman"/>
                <w:noProof/>
              </w:rPr>
              <w:t>МСФО, применяемой в Российской Ф</w:t>
            </w:r>
            <w:r w:rsidR="009E63E3" w:rsidRPr="00887A76">
              <w:rPr>
                <w:rStyle w:val="ae"/>
                <w:rFonts w:ascii="Times New Roman" w:hAnsi="Times New Roman" w:cs="Times New Roman"/>
                <w:noProof/>
              </w:rPr>
              <w:t>едерации.</w:t>
            </w:r>
            <w:r w:rsidR="009E63E3" w:rsidRPr="00887A76">
              <w:rPr>
                <w:rFonts w:ascii="Times New Roman" w:hAnsi="Times New Roman" w:cs="Times New Roman"/>
                <w:noProof/>
                <w:webHidden/>
              </w:rPr>
              <w:tab/>
            </w:r>
            <w:r w:rsidR="004F3A97">
              <w:rPr>
                <w:rFonts w:ascii="Times New Roman" w:hAnsi="Times New Roman" w:cs="Times New Roman"/>
                <w:noProof/>
                <w:webHidden/>
              </w:rPr>
              <w:t>4</w:t>
            </w:r>
          </w:hyperlink>
        </w:p>
        <w:p w14:paraId="7F1CCD29" w14:textId="7FCF1623"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37" w:history="1">
            <w:r w:rsidR="009E63E3" w:rsidRPr="00887A76">
              <w:rPr>
                <w:rStyle w:val="ae"/>
                <w:rFonts w:ascii="Times New Roman" w:hAnsi="Times New Roman" w:cs="Times New Roman"/>
                <w:noProof/>
              </w:rPr>
              <w:t>Использование формулировки «бухгалтерская» или «бухгалтерская (финансовая) отчетность».</w:t>
            </w:r>
            <w:r w:rsidR="009E63E3" w:rsidRPr="00887A76">
              <w:rPr>
                <w:rFonts w:ascii="Times New Roman" w:hAnsi="Times New Roman" w:cs="Times New Roman"/>
                <w:noProof/>
                <w:webHidden/>
              </w:rPr>
              <w:tab/>
            </w:r>
            <w:r w:rsidR="004F3A97">
              <w:rPr>
                <w:rFonts w:ascii="Times New Roman" w:hAnsi="Times New Roman" w:cs="Times New Roman"/>
                <w:noProof/>
                <w:webHidden/>
              </w:rPr>
              <w:t>5</w:t>
            </w:r>
          </w:hyperlink>
        </w:p>
        <w:p w14:paraId="0EF79675" w14:textId="4D846D6A"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38" w:history="1">
            <w:r w:rsidR="009E63E3" w:rsidRPr="00887A76">
              <w:rPr>
                <w:rStyle w:val="ae"/>
                <w:rFonts w:ascii="Times New Roman" w:hAnsi="Times New Roman" w:cs="Times New Roman"/>
                <w:noProof/>
              </w:rPr>
              <w:t>Обязательность указания формулировки «включая краткий обзор основных положений учетной политики» в разделе «Мнение» аудиторского заключения.</w:t>
            </w:r>
            <w:r w:rsidR="009E63E3" w:rsidRPr="00887A76">
              <w:rPr>
                <w:rFonts w:ascii="Times New Roman" w:hAnsi="Times New Roman" w:cs="Times New Roman"/>
                <w:noProof/>
                <w:webHidden/>
              </w:rPr>
              <w:tab/>
            </w:r>
            <w:r w:rsidR="004F3A97">
              <w:rPr>
                <w:rFonts w:ascii="Times New Roman" w:hAnsi="Times New Roman" w:cs="Times New Roman"/>
                <w:noProof/>
                <w:webHidden/>
              </w:rPr>
              <w:t>5</w:t>
            </w:r>
          </w:hyperlink>
        </w:p>
        <w:p w14:paraId="4B53C405" w14:textId="2AE28028"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39" w:history="1">
            <w:r w:rsidR="009E63E3" w:rsidRPr="00887A76">
              <w:rPr>
                <w:rStyle w:val="ae"/>
                <w:rFonts w:ascii="Times New Roman" w:hAnsi="Times New Roman" w:cs="Times New Roman"/>
                <w:noProof/>
              </w:rPr>
              <w:t>Дата выпуска аудиторского заключения и дата получения письменных заявлений.</w:t>
            </w:r>
            <w:r w:rsidR="009E63E3" w:rsidRPr="00887A76">
              <w:rPr>
                <w:rFonts w:ascii="Times New Roman" w:hAnsi="Times New Roman" w:cs="Times New Roman"/>
                <w:noProof/>
                <w:webHidden/>
              </w:rPr>
              <w:tab/>
            </w:r>
            <w:r w:rsidR="004F3A97">
              <w:rPr>
                <w:rFonts w:ascii="Times New Roman" w:hAnsi="Times New Roman" w:cs="Times New Roman"/>
                <w:noProof/>
                <w:webHidden/>
              </w:rPr>
              <w:t>6</w:t>
            </w:r>
          </w:hyperlink>
        </w:p>
        <w:p w14:paraId="6793D286" w14:textId="77777777"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40" w:history="1">
            <w:r w:rsidR="009E63E3" w:rsidRPr="00887A76">
              <w:rPr>
                <w:rStyle w:val="ae"/>
                <w:rFonts w:ascii="Times New Roman" w:hAnsi="Times New Roman" w:cs="Times New Roman"/>
                <w:noProof/>
              </w:rPr>
              <w:t>Должны ли в рабочих документах аудитора содержаться копии документов аудируемого лица?</w:t>
            </w:r>
            <w:r w:rsidR="009E63E3" w:rsidRPr="00887A76">
              <w:rPr>
                <w:rFonts w:ascii="Times New Roman" w:hAnsi="Times New Roman" w:cs="Times New Roman"/>
                <w:noProof/>
                <w:webHidden/>
              </w:rPr>
              <w:tab/>
            </w:r>
            <w:r w:rsidR="009E63E3" w:rsidRPr="00887A76">
              <w:rPr>
                <w:rFonts w:ascii="Times New Roman" w:hAnsi="Times New Roman" w:cs="Times New Roman"/>
                <w:noProof/>
                <w:webHidden/>
              </w:rPr>
              <w:fldChar w:fldCharType="begin"/>
            </w:r>
            <w:r w:rsidR="009E63E3" w:rsidRPr="00887A76">
              <w:rPr>
                <w:rFonts w:ascii="Times New Roman" w:hAnsi="Times New Roman" w:cs="Times New Roman"/>
                <w:noProof/>
                <w:webHidden/>
              </w:rPr>
              <w:instrText xml:space="preserve"> PAGEREF _Toc9603140 \h </w:instrText>
            </w:r>
            <w:r w:rsidR="009E63E3" w:rsidRPr="00887A76">
              <w:rPr>
                <w:rFonts w:ascii="Times New Roman" w:hAnsi="Times New Roman" w:cs="Times New Roman"/>
                <w:noProof/>
                <w:webHidden/>
              </w:rPr>
            </w:r>
            <w:r w:rsidR="009E63E3" w:rsidRPr="00887A76">
              <w:rPr>
                <w:rFonts w:ascii="Times New Roman" w:hAnsi="Times New Roman" w:cs="Times New Roman"/>
                <w:noProof/>
                <w:webHidden/>
              </w:rPr>
              <w:fldChar w:fldCharType="separate"/>
            </w:r>
            <w:r w:rsidR="009E63E3" w:rsidRPr="00887A76">
              <w:rPr>
                <w:rFonts w:ascii="Times New Roman" w:hAnsi="Times New Roman" w:cs="Times New Roman"/>
                <w:noProof/>
                <w:webHidden/>
              </w:rPr>
              <w:t>6</w:t>
            </w:r>
            <w:r w:rsidR="009E63E3" w:rsidRPr="00887A76">
              <w:rPr>
                <w:rFonts w:ascii="Times New Roman" w:hAnsi="Times New Roman" w:cs="Times New Roman"/>
                <w:noProof/>
                <w:webHidden/>
              </w:rPr>
              <w:fldChar w:fldCharType="end"/>
            </w:r>
          </w:hyperlink>
        </w:p>
        <w:p w14:paraId="2D004F4C" w14:textId="77777777"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41" w:history="1">
            <w:r w:rsidR="009E63E3" w:rsidRPr="00887A76">
              <w:rPr>
                <w:rStyle w:val="ae"/>
                <w:rFonts w:ascii="Times New Roman" w:hAnsi="Times New Roman" w:cs="Times New Roman"/>
                <w:noProof/>
              </w:rPr>
              <w:t>Аудиторское заключение в виде электронного документа</w:t>
            </w:r>
            <w:r w:rsidR="009E63E3" w:rsidRPr="00887A76">
              <w:rPr>
                <w:rFonts w:ascii="Times New Roman" w:hAnsi="Times New Roman" w:cs="Times New Roman"/>
                <w:noProof/>
                <w:webHidden/>
              </w:rPr>
              <w:tab/>
            </w:r>
            <w:r w:rsidR="009E63E3" w:rsidRPr="00887A76">
              <w:rPr>
                <w:rFonts w:ascii="Times New Roman" w:hAnsi="Times New Roman" w:cs="Times New Roman"/>
                <w:noProof/>
                <w:webHidden/>
              </w:rPr>
              <w:fldChar w:fldCharType="begin"/>
            </w:r>
            <w:r w:rsidR="009E63E3" w:rsidRPr="00887A76">
              <w:rPr>
                <w:rFonts w:ascii="Times New Roman" w:hAnsi="Times New Roman" w:cs="Times New Roman"/>
                <w:noProof/>
                <w:webHidden/>
              </w:rPr>
              <w:instrText xml:space="preserve"> PAGEREF _Toc9603141 \h </w:instrText>
            </w:r>
            <w:r w:rsidR="009E63E3" w:rsidRPr="00887A76">
              <w:rPr>
                <w:rFonts w:ascii="Times New Roman" w:hAnsi="Times New Roman" w:cs="Times New Roman"/>
                <w:noProof/>
                <w:webHidden/>
              </w:rPr>
            </w:r>
            <w:r w:rsidR="009E63E3" w:rsidRPr="00887A76">
              <w:rPr>
                <w:rFonts w:ascii="Times New Roman" w:hAnsi="Times New Roman" w:cs="Times New Roman"/>
                <w:noProof/>
                <w:webHidden/>
              </w:rPr>
              <w:fldChar w:fldCharType="separate"/>
            </w:r>
            <w:r w:rsidR="009E63E3" w:rsidRPr="00887A76">
              <w:rPr>
                <w:rFonts w:ascii="Times New Roman" w:hAnsi="Times New Roman" w:cs="Times New Roman"/>
                <w:noProof/>
                <w:webHidden/>
              </w:rPr>
              <w:t>6</w:t>
            </w:r>
            <w:r w:rsidR="009E63E3" w:rsidRPr="00887A76">
              <w:rPr>
                <w:rFonts w:ascii="Times New Roman" w:hAnsi="Times New Roman" w:cs="Times New Roman"/>
                <w:noProof/>
                <w:webHidden/>
              </w:rPr>
              <w:fldChar w:fldCharType="end"/>
            </w:r>
          </w:hyperlink>
        </w:p>
        <w:p w14:paraId="7FEEF0AB" w14:textId="77777777"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42" w:history="1">
            <w:r w:rsidR="009E63E3" w:rsidRPr="00887A76">
              <w:rPr>
                <w:rStyle w:val="ae"/>
                <w:rFonts w:ascii="Times New Roman" w:hAnsi="Times New Roman" w:cs="Times New Roman"/>
                <w:noProof/>
              </w:rPr>
              <w:t>Формат указания лиц, отвечающих за корпоративное управление, в аудиторском заключении</w:t>
            </w:r>
            <w:r w:rsidR="009E63E3" w:rsidRPr="00887A76">
              <w:rPr>
                <w:rFonts w:ascii="Times New Roman" w:hAnsi="Times New Roman" w:cs="Times New Roman"/>
                <w:noProof/>
                <w:webHidden/>
              </w:rPr>
              <w:tab/>
            </w:r>
            <w:r w:rsidR="009E63E3" w:rsidRPr="00887A76">
              <w:rPr>
                <w:rFonts w:ascii="Times New Roman" w:hAnsi="Times New Roman" w:cs="Times New Roman"/>
                <w:noProof/>
                <w:webHidden/>
              </w:rPr>
              <w:fldChar w:fldCharType="begin"/>
            </w:r>
            <w:r w:rsidR="009E63E3" w:rsidRPr="00887A76">
              <w:rPr>
                <w:rFonts w:ascii="Times New Roman" w:hAnsi="Times New Roman" w:cs="Times New Roman"/>
                <w:noProof/>
                <w:webHidden/>
              </w:rPr>
              <w:instrText xml:space="preserve"> PAGEREF _Toc9603142 \h </w:instrText>
            </w:r>
            <w:r w:rsidR="009E63E3" w:rsidRPr="00887A76">
              <w:rPr>
                <w:rFonts w:ascii="Times New Roman" w:hAnsi="Times New Roman" w:cs="Times New Roman"/>
                <w:noProof/>
                <w:webHidden/>
              </w:rPr>
            </w:r>
            <w:r w:rsidR="009E63E3" w:rsidRPr="00887A76">
              <w:rPr>
                <w:rFonts w:ascii="Times New Roman" w:hAnsi="Times New Roman" w:cs="Times New Roman"/>
                <w:noProof/>
                <w:webHidden/>
              </w:rPr>
              <w:fldChar w:fldCharType="separate"/>
            </w:r>
            <w:r w:rsidR="009E63E3" w:rsidRPr="00887A76">
              <w:rPr>
                <w:rFonts w:ascii="Times New Roman" w:hAnsi="Times New Roman" w:cs="Times New Roman"/>
                <w:noProof/>
                <w:webHidden/>
              </w:rPr>
              <w:t>7</w:t>
            </w:r>
            <w:r w:rsidR="009E63E3" w:rsidRPr="00887A76">
              <w:rPr>
                <w:rFonts w:ascii="Times New Roman" w:hAnsi="Times New Roman" w:cs="Times New Roman"/>
                <w:noProof/>
                <w:webHidden/>
              </w:rPr>
              <w:fldChar w:fldCharType="end"/>
            </w:r>
          </w:hyperlink>
        </w:p>
        <w:p w14:paraId="0C93DD11" w14:textId="1CD67A2D"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43" w:history="1">
            <w:r w:rsidR="009E63E3" w:rsidRPr="00887A76">
              <w:rPr>
                <w:rStyle w:val="ae"/>
                <w:rFonts w:ascii="Times New Roman" w:hAnsi="Times New Roman" w:cs="Times New Roman"/>
                <w:noProof/>
              </w:rPr>
              <w:t>Подписание аудиторского заключения</w:t>
            </w:r>
            <w:r w:rsidR="009E63E3" w:rsidRPr="00887A76">
              <w:rPr>
                <w:rFonts w:ascii="Times New Roman" w:hAnsi="Times New Roman" w:cs="Times New Roman"/>
                <w:noProof/>
                <w:webHidden/>
              </w:rPr>
              <w:tab/>
            </w:r>
            <w:r w:rsidR="004F3A97">
              <w:rPr>
                <w:rFonts w:ascii="Times New Roman" w:hAnsi="Times New Roman" w:cs="Times New Roman"/>
                <w:noProof/>
                <w:webHidden/>
              </w:rPr>
              <w:t>8</w:t>
            </w:r>
          </w:hyperlink>
        </w:p>
        <w:p w14:paraId="1F947BEB" w14:textId="57773BF1" w:rsidR="009E63E3" w:rsidRPr="00887A76" w:rsidRDefault="00475BE5">
          <w:pPr>
            <w:pStyle w:val="11"/>
            <w:tabs>
              <w:tab w:val="right" w:leader="dot" w:pos="9345"/>
            </w:tabs>
            <w:rPr>
              <w:rFonts w:ascii="Times New Roman" w:eastAsiaTheme="minorEastAsia" w:hAnsi="Times New Roman" w:cs="Times New Roman"/>
              <w:noProof/>
              <w:lang w:eastAsia="ru-RU"/>
            </w:rPr>
          </w:pPr>
          <w:hyperlink w:anchor="_Toc9603144" w:history="1">
            <w:r w:rsidR="009E63E3" w:rsidRPr="00887A76">
              <w:rPr>
                <w:rStyle w:val="ae"/>
                <w:rFonts w:ascii="Times New Roman" w:hAnsi="Times New Roman" w:cs="Times New Roman"/>
                <w:noProof/>
              </w:rPr>
              <w:t>Содержание аудиторского заключения в случае, когда в бухгалтерской (финансовой) отчетности аудируемого лица чистые активы меньше уставного капитала</w:t>
            </w:r>
            <w:r w:rsidR="009E63E3" w:rsidRPr="00887A76">
              <w:rPr>
                <w:rFonts w:ascii="Times New Roman" w:hAnsi="Times New Roman" w:cs="Times New Roman"/>
                <w:noProof/>
                <w:webHidden/>
              </w:rPr>
              <w:tab/>
            </w:r>
            <w:r w:rsidR="004F3A97">
              <w:rPr>
                <w:rFonts w:ascii="Times New Roman" w:hAnsi="Times New Roman" w:cs="Times New Roman"/>
                <w:noProof/>
                <w:webHidden/>
              </w:rPr>
              <w:t>9</w:t>
            </w:r>
          </w:hyperlink>
        </w:p>
        <w:p w14:paraId="3046D116" w14:textId="77777777" w:rsidR="006E5097" w:rsidRPr="00887A76" w:rsidRDefault="00E40455">
          <w:pPr>
            <w:ind w:firstLine="0"/>
            <w:rPr>
              <w:rFonts w:eastAsia="Calibri" w:cs="Times New Roman"/>
            </w:rPr>
          </w:pPr>
          <w:r w:rsidRPr="00887A76">
            <w:rPr>
              <w:rFonts w:cs="Times New Roman"/>
              <w:b/>
              <w:bCs/>
            </w:rPr>
            <w:fldChar w:fldCharType="end"/>
          </w:r>
        </w:p>
      </w:sdtContent>
    </w:sdt>
    <w:p w14:paraId="27D0162B" w14:textId="01D69191" w:rsidR="004F3A97" w:rsidRDefault="004F3A97">
      <w:pPr>
        <w:ind w:firstLine="0"/>
        <w:jc w:val="left"/>
        <w:rPr>
          <w:rFonts w:cs="Times New Roman"/>
        </w:rPr>
      </w:pPr>
      <w:r>
        <w:rPr>
          <w:rFonts w:cs="Times New Roman"/>
        </w:rPr>
        <w:br w:type="page"/>
      </w:r>
    </w:p>
    <w:p w14:paraId="74EF314B" w14:textId="1AE02DB3" w:rsidR="006E5097" w:rsidRPr="00887A76" w:rsidRDefault="00E40455">
      <w:pPr>
        <w:pStyle w:val="1"/>
        <w:numPr>
          <w:ilvl w:val="0"/>
          <w:numId w:val="0"/>
        </w:numPr>
        <w:jc w:val="both"/>
        <w:rPr>
          <w:rFonts w:ascii="Times New Roman" w:hAnsi="Times New Roman" w:cs="Times New Roman"/>
        </w:rPr>
      </w:pPr>
      <w:bookmarkStart w:id="1" w:name="_Toc9603135"/>
      <w:r w:rsidRPr="00887A76">
        <w:rPr>
          <w:rFonts w:ascii="Times New Roman" w:hAnsi="Times New Roman" w:cs="Times New Roman"/>
        </w:rPr>
        <w:lastRenderedPageBreak/>
        <w:t>Определение субъекта ч.3 ст.5 Федерального закона № 307-ФЗ</w:t>
      </w:r>
      <w:bookmarkEnd w:id="1"/>
    </w:p>
    <w:p w14:paraId="1742FF40" w14:textId="30D3B4AE" w:rsidR="006E5097" w:rsidRPr="00887A76" w:rsidRDefault="00E40455">
      <w:pPr>
        <w:autoSpaceDE w:val="0"/>
        <w:autoSpaceDN w:val="0"/>
        <w:adjustRightInd w:val="0"/>
        <w:spacing w:before="120"/>
        <w:ind w:firstLine="0"/>
        <w:rPr>
          <w:rFonts w:eastAsia="Times New Roman" w:cs="Times New Roman"/>
          <w:szCs w:val="24"/>
          <w:lang w:eastAsia="ru-RU"/>
        </w:rPr>
      </w:pPr>
      <w:r w:rsidRPr="00887A76">
        <w:rPr>
          <w:rFonts w:eastAsia="Times New Roman" w:cs="Times New Roman"/>
          <w:szCs w:val="24"/>
          <w:lang w:eastAsia="ru-RU"/>
        </w:rPr>
        <w:t xml:space="preserve">На основании части 1 статьи 214 Гражданского кодекса Российской Федерации к государственной собственности относится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(г. Москва, г. Санкт-Петербург и г. Севастополь), </w:t>
      </w:r>
      <w:r w:rsidR="00A60597" w:rsidRPr="00887A76">
        <w:rPr>
          <w:rFonts w:eastAsia="Times New Roman" w:cs="Times New Roman"/>
          <w:szCs w:val="24"/>
          <w:lang w:eastAsia="ru-RU"/>
        </w:rPr>
        <w:t>автономным областям</w:t>
      </w:r>
      <w:r w:rsidRPr="00887A76">
        <w:rPr>
          <w:rFonts w:eastAsia="Times New Roman" w:cs="Times New Roman"/>
          <w:szCs w:val="24"/>
          <w:lang w:eastAsia="ru-RU"/>
        </w:rPr>
        <w:t>, автономным округам (собственность субъекта Российской Федерации).</w:t>
      </w:r>
    </w:p>
    <w:p w14:paraId="0046F2D3" w14:textId="7AC67C0F" w:rsidR="006E5097" w:rsidRPr="00887A76" w:rsidRDefault="00E40455">
      <w:pPr>
        <w:autoSpaceDE w:val="0"/>
        <w:autoSpaceDN w:val="0"/>
        <w:adjustRightInd w:val="0"/>
        <w:spacing w:line="258" w:lineRule="auto"/>
        <w:ind w:firstLine="0"/>
        <w:rPr>
          <w:rFonts w:eastAsia="Times New Roman" w:cs="Times New Roman"/>
          <w:szCs w:val="24"/>
          <w:lang w:eastAsia="ru-RU"/>
        </w:rPr>
      </w:pPr>
      <w:r w:rsidRPr="00887A76">
        <w:rPr>
          <w:rFonts w:eastAsia="Times New Roman" w:cs="Times New Roman"/>
          <w:szCs w:val="24"/>
          <w:lang w:eastAsia="ru-RU"/>
        </w:rPr>
        <w:t xml:space="preserve">В соответствии с требованиями статьи 66 Гражданского кодекса Российской Федерации под долей в уставном (складочном) капитале хозяйственного общества понимается имущество учредителя (кредитора), которое может быть выражено в денежной или иной форме и является величиной чистых активов хозяйственного общества. При этом учредитель (кредитор) обладает правом владения, и распоряжения таким имуществом, то есть такое имущество признается собственностью кредитора, а в </w:t>
      </w:r>
      <w:r w:rsidR="005E447D" w:rsidRPr="00887A76">
        <w:rPr>
          <w:rFonts w:eastAsia="Times New Roman" w:cs="Times New Roman"/>
          <w:szCs w:val="24"/>
          <w:lang w:eastAsia="ru-RU"/>
        </w:rPr>
        <w:t xml:space="preserve">случае, </w:t>
      </w:r>
      <w:r w:rsidRPr="00887A76">
        <w:rPr>
          <w:rFonts w:eastAsia="Times New Roman" w:cs="Times New Roman"/>
          <w:szCs w:val="24"/>
          <w:lang w:eastAsia="ru-RU"/>
        </w:rPr>
        <w:t>если кредитором выступает другое хозяйственное общество</w:t>
      </w:r>
      <w:r w:rsidR="005E447D" w:rsidRPr="00887A76">
        <w:rPr>
          <w:rFonts w:eastAsia="Times New Roman" w:cs="Times New Roman"/>
          <w:szCs w:val="24"/>
          <w:lang w:eastAsia="ru-RU"/>
        </w:rPr>
        <w:t xml:space="preserve"> - </w:t>
      </w:r>
      <w:r w:rsidRPr="00887A76">
        <w:rPr>
          <w:rFonts w:eastAsia="Times New Roman" w:cs="Times New Roman"/>
          <w:szCs w:val="24"/>
          <w:lang w:eastAsia="ru-RU"/>
        </w:rPr>
        <w:t>собственностью такого хозяйственного общества.</w:t>
      </w:r>
    </w:p>
    <w:p w14:paraId="3CDE4173" w14:textId="77777777" w:rsidR="006E5097" w:rsidRPr="00887A76" w:rsidRDefault="00E40455">
      <w:pPr>
        <w:autoSpaceDE w:val="0"/>
        <w:autoSpaceDN w:val="0"/>
        <w:adjustRightInd w:val="0"/>
        <w:spacing w:line="258" w:lineRule="auto"/>
        <w:ind w:firstLine="0"/>
        <w:rPr>
          <w:rFonts w:eastAsia="Times New Roman" w:cs="Times New Roman"/>
          <w:szCs w:val="24"/>
          <w:lang w:eastAsia="ru-RU"/>
        </w:rPr>
      </w:pPr>
      <w:r w:rsidRPr="00887A76">
        <w:rPr>
          <w:rFonts w:eastAsia="Times New Roman" w:cs="Times New Roman"/>
          <w:szCs w:val="24"/>
          <w:lang w:eastAsia="ru-RU"/>
        </w:rPr>
        <w:t>При этом режим государственной собственности, на доли в уставном капитале, принадлежащие хозяйственным обществам с государственным участием не распространяется, поскольку отсутствует прямое участие государства.</w:t>
      </w:r>
    </w:p>
    <w:p w14:paraId="3581A67B" w14:textId="77777777" w:rsidR="006E5097" w:rsidRPr="00887A76" w:rsidRDefault="00E40455">
      <w:pPr>
        <w:ind w:firstLine="0"/>
        <w:rPr>
          <w:rFonts w:cs="Times New Roman"/>
          <w:b/>
          <w:szCs w:val="24"/>
          <w:u w:val="single"/>
        </w:rPr>
      </w:pPr>
      <w:r w:rsidRPr="00887A76">
        <w:rPr>
          <w:rFonts w:cs="Times New Roman"/>
          <w:b/>
          <w:szCs w:val="24"/>
          <w:u w:val="single"/>
        </w:rPr>
        <w:t>Момент определения субъекта ч.3 ст.5 Федерального закона № 307-ФЗ</w:t>
      </w:r>
    </w:p>
    <w:p w14:paraId="49DC8C68" w14:textId="40C5B3F3" w:rsidR="006E5097" w:rsidRPr="00887A76" w:rsidRDefault="00E40455">
      <w:pPr>
        <w:autoSpaceDE w:val="0"/>
        <w:autoSpaceDN w:val="0"/>
        <w:adjustRightInd w:val="0"/>
        <w:spacing w:line="258" w:lineRule="auto"/>
        <w:ind w:firstLine="0"/>
        <w:rPr>
          <w:rFonts w:eastAsia="Times New Roman" w:cs="Times New Roman"/>
          <w:szCs w:val="24"/>
          <w:lang w:eastAsia="ru-RU"/>
        </w:rPr>
      </w:pPr>
      <w:r w:rsidRPr="00887A76">
        <w:rPr>
          <w:rFonts w:eastAsia="Times New Roman" w:cs="Times New Roman"/>
          <w:szCs w:val="24"/>
          <w:lang w:eastAsia="ru-RU"/>
        </w:rPr>
        <w:t>В аудиторской практике встречаются ситуации изменения установленного законом критерия в течение проверяемого периода, или даже в ходе проведения аудита. Например, аудируемое лицо на дату окончания отчетного периода может не соответствовать критериям предусмотренным частью 3 статьи 5 Федерального закона "Об аудиторской деятельности" от 30.12.2008 N 307-ФЗ, но на дату выпуска аудиторского заключения стало соответствовать установленному критерию. Например, доля государственной собственности в уставном капитале к моменту выпуска аудиторского заключения повысилась до величины не менее 25% или ценные бумаги стали допущены к организованным торгам.</w:t>
      </w:r>
    </w:p>
    <w:p w14:paraId="2D0355D0" w14:textId="77777777" w:rsidR="006E5097" w:rsidRPr="00887A76" w:rsidRDefault="00E40455">
      <w:pPr>
        <w:autoSpaceDE w:val="0"/>
        <w:autoSpaceDN w:val="0"/>
        <w:adjustRightInd w:val="0"/>
        <w:spacing w:line="258" w:lineRule="auto"/>
        <w:ind w:firstLine="0"/>
        <w:rPr>
          <w:rFonts w:eastAsia="Times New Roman" w:cs="Times New Roman"/>
          <w:szCs w:val="24"/>
          <w:lang w:eastAsia="ru-RU"/>
        </w:rPr>
      </w:pPr>
      <w:r w:rsidRPr="00887A76">
        <w:rPr>
          <w:rFonts w:eastAsia="Times New Roman" w:cs="Times New Roman"/>
          <w:szCs w:val="24"/>
          <w:lang w:eastAsia="ru-RU"/>
        </w:rPr>
        <w:t>Дать однозначный ответ на вопрос о том, аудитор с каким аттестатом имеет право проводить аудит такой организации, не представляется возможным. Данный вопрос рассматривался на заседании Совета по организации внешнего контроля качества работы аудиторских организаций Федерального казначейства 14 декабря 2018 года, и было принято решение (пункт VI повестки для) о формировании предложений по разъяснению положений части 3 статьи 5 Федерального закона "Об аудиторской деятельности» для рассмотрения на Рабочем органе Совета по аудиторской деятельности.</w:t>
      </w:r>
    </w:p>
    <w:p w14:paraId="73FFD2D8" w14:textId="77777777" w:rsidR="006E5097" w:rsidRPr="00887A76" w:rsidRDefault="00E40455">
      <w:pPr>
        <w:autoSpaceDE w:val="0"/>
        <w:autoSpaceDN w:val="0"/>
        <w:adjustRightInd w:val="0"/>
        <w:spacing w:line="258" w:lineRule="auto"/>
        <w:ind w:firstLine="0"/>
        <w:rPr>
          <w:rFonts w:eastAsia="Times New Roman" w:cs="Times New Roman"/>
          <w:szCs w:val="24"/>
          <w:lang w:eastAsia="ru-RU"/>
        </w:rPr>
      </w:pPr>
      <w:r w:rsidRPr="00887A76">
        <w:rPr>
          <w:rFonts w:eastAsia="Times New Roman" w:cs="Times New Roman"/>
          <w:szCs w:val="24"/>
          <w:lang w:eastAsia="ru-RU"/>
        </w:rPr>
        <w:t>www.roskazna.ru/kontrol/vneshniy-kontrol-kachestva-raboty-auditorskikh-organizatsiy/sovet-po-organizatsii-vneshnego-kontrolya-kachestva-raboty-auditorskih-organizatsiy/rezultaty-deyatelnosti-sovet/?year=2018</w:t>
      </w:r>
    </w:p>
    <w:p w14:paraId="384890D8" w14:textId="24846D67" w:rsidR="006E5097" w:rsidRPr="00887A76" w:rsidRDefault="00E40455">
      <w:pPr>
        <w:ind w:firstLine="0"/>
        <w:rPr>
          <w:rFonts w:cs="Times New Roman"/>
        </w:rPr>
      </w:pPr>
      <w:r w:rsidRPr="00887A76">
        <w:rPr>
          <w:rFonts w:cs="Times New Roman"/>
          <w:szCs w:val="24"/>
        </w:rPr>
        <w:t xml:space="preserve">В целом, представляется обоснованным применение следующего общего подхода. Любые установленные законом ограничения должны иметь под собой обоснование. Если аудиторское заключение адресовано лицам, среди которых государство или его представители отсутствуют (или государство имеет долю ниже установленного предела), то общественная значимость субъекта, который составляет и предоставляет аудируемую </w:t>
      </w:r>
      <w:r w:rsidRPr="00887A76">
        <w:rPr>
          <w:rFonts w:cs="Times New Roman"/>
          <w:szCs w:val="24"/>
        </w:rPr>
        <w:lastRenderedPageBreak/>
        <w:t>отчетность, очевидно, уже не имеет места. Тогда нет оснований устанавливать</w:t>
      </w:r>
      <w:r w:rsidRPr="00887A76">
        <w:rPr>
          <w:rFonts w:cs="Times New Roman"/>
        </w:rPr>
        <w:t xml:space="preserve"> повышенные требования не только к самой отчетности, но и, соответственно, к аудиту такой отчетности.</w:t>
      </w:r>
    </w:p>
    <w:p w14:paraId="17860E54" w14:textId="1C9BFDB0" w:rsidR="006E5097" w:rsidRPr="00887A76" w:rsidRDefault="00E40455">
      <w:pPr>
        <w:pStyle w:val="1"/>
        <w:numPr>
          <w:ilvl w:val="0"/>
          <w:numId w:val="0"/>
        </w:numPr>
        <w:jc w:val="both"/>
        <w:rPr>
          <w:rFonts w:ascii="Times New Roman" w:hAnsi="Times New Roman" w:cs="Times New Roman"/>
        </w:rPr>
      </w:pPr>
      <w:bookmarkStart w:id="2" w:name="_Toc6223594"/>
      <w:bookmarkStart w:id="3" w:name="_Toc9603136"/>
      <w:r w:rsidRPr="00887A76">
        <w:rPr>
          <w:rFonts w:ascii="Times New Roman" w:hAnsi="Times New Roman" w:cs="Times New Roman"/>
        </w:rPr>
        <w:t xml:space="preserve">Наименование применимой концепции подготовки финансовой отчетности, отличной от МСФО, применяемой в Российской </w:t>
      </w:r>
      <w:r w:rsidR="00887A76">
        <w:rPr>
          <w:rFonts w:ascii="Times New Roman" w:hAnsi="Times New Roman" w:cs="Times New Roman"/>
        </w:rPr>
        <w:t>Ф</w:t>
      </w:r>
      <w:r w:rsidRPr="00887A76">
        <w:rPr>
          <w:rFonts w:ascii="Times New Roman" w:hAnsi="Times New Roman" w:cs="Times New Roman"/>
        </w:rPr>
        <w:t>едерации</w:t>
      </w:r>
      <w:bookmarkEnd w:id="2"/>
      <w:bookmarkEnd w:id="3"/>
    </w:p>
    <w:p w14:paraId="0CE0664A" w14:textId="12803296" w:rsidR="006E5097" w:rsidRPr="00887A76" w:rsidRDefault="00E40455">
      <w:pPr>
        <w:spacing w:before="120"/>
        <w:ind w:firstLine="0"/>
        <w:rPr>
          <w:rFonts w:cs="Times New Roman"/>
        </w:rPr>
      </w:pPr>
      <w:r w:rsidRPr="00887A76">
        <w:rPr>
          <w:rFonts w:cs="Times New Roman"/>
        </w:rPr>
        <w:t xml:space="preserve">Согласно </w:t>
      </w:r>
      <w:r w:rsidR="006D63F3">
        <w:rPr>
          <w:rFonts w:cs="Times New Roman"/>
        </w:rPr>
        <w:t>пункту</w:t>
      </w:r>
      <w:r w:rsidR="003E24F2" w:rsidRPr="00887A76">
        <w:rPr>
          <w:rFonts w:cs="Times New Roman"/>
        </w:rPr>
        <w:t xml:space="preserve"> </w:t>
      </w:r>
      <w:r w:rsidRPr="00887A76">
        <w:rPr>
          <w:rFonts w:cs="Times New Roman"/>
        </w:rPr>
        <w:t xml:space="preserve">13 </w:t>
      </w:r>
      <w:r w:rsidR="003E24F2" w:rsidRPr="00887A76">
        <w:rPr>
          <w:rFonts w:cs="Times New Roman"/>
        </w:rPr>
        <w:t xml:space="preserve">Международного стандарта аудита </w:t>
      </w:r>
      <w:r w:rsidRPr="00887A76">
        <w:rPr>
          <w:rFonts w:cs="Times New Roman"/>
        </w:rPr>
        <w:t>200 «Основные цели независимого аудитора и проведение аудит в соответствии с Международными стандартами аудита» применимая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организации и используемая при подготовке финансовой отчетности; эта концепция является приемлемой с точки зрения характера организации и цели подготовки финансовой отчетности или ее использование требуется законами или нормативными актами.</w:t>
      </w:r>
    </w:p>
    <w:p w14:paraId="17C0DA16" w14:textId="2D2C693F" w:rsidR="006E5097" w:rsidRPr="00887A76" w:rsidRDefault="00E40455">
      <w:pPr>
        <w:ind w:firstLine="0"/>
        <w:rPr>
          <w:rFonts w:cs="Times New Roman"/>
        </w:rPr>
      </w:pPr>
      <w:r w:rsidRPr="00887A76">
        <w:rPr>
          <w:rFonts w:cs="Times New Roman"/>
        </w:rPr>
        <w:t>Согласно пункт</w:t>
      </w:r>
      <w:r w:rsidR="006D63F3">
        <w:rPr>
          <w:rFonts w:cs="Times New Roman"/>
        </w:rPr>
        <w:t>у</w:t>
      </w:r>
      <w:r w:rsidRPr="00887A76">
        <w:rPr>
          <w:rFonts w:cs="Times New Roman"/>
        </w:rPr>
        <w:t xml:space="preserve"> 15 МСА 700 (пересмотренного) «Формирование мнения и составление заключения о финансовой отчетности» аудитор должен оценить, содержит ли финансовая отчетность надлежащую ссылку на применимую концепцию подготовки финансовой отчетности или ее описание. </w:t>
      </w:r>
    </w:p>
    <w:p w14:paraId="5C7B301E" w14:textId="77777777" w:rsidR="006E5097" w:rsidRPr="00887A76" w:rsidRDefault="00E40455">
      <w:pPr>
        <w:ind w:firstLine="0"/>
        <w:rPr>
          <w:rFonts w:cs="Times New Roman"/>
        </w:rPr>
      </w:pPr>
      <w:r w:rsidRPr="00887A76">
        <w:rPr>
          <w:rFonts w:cs="Times New Roman"/>
        </w:rPr>
        <w:t>В пункте 27 МСА 700 (пересмотренного), указано если применимой концепций подготовки финансовой отчетности являются не МСФО, выпущенные Советом по международным стандартам финансовой отчетности, или не Международные стандарты финансовой отчетности для организаций общественного сектора, выпущенные Советом по международным стандартам финансовой отчетности для организаций общественного сектора, то мнение аудитора должно содержать указание на юрисдикцию, в которой принята соответствующая концепция подготовки финансовой отчетности.</w:t>
      </w:r>
    </w:p>
    <w:p w14:paraId="7CF1DC97" w14:textId="77777777" w:rsidR="006E5097" w:rsidRPr="00887A76" w:rsidRDefault="00E40455">
      <w:pPr>
        <w:ind w:firstLine="0"/>
        <w:rPr>
          <w:rFonts w:cs="Times New Roman"/>
        </w:rPr>
      </w:pPr>
      <w:r w:rsidRPr="00887A76">
        <w:rPr>
          <w:rFonts w:cs="Times New Roman"/>
        </w:rPr>
        <w:t>Таким образом, МСА не содержат формулировки описания применимой концепции подготовки финансовой отчетности конкретной юрисдикции.</w:t>
      </w:r>
    </w:p>
    <w:p w14:paraId="65A88A0F" w14:textId="5B8372FC" w:rsidR="006E5097" w:rsidRPr="00887A76" w:rsidRDefault="00E40455">
      <w:pPr>
        <w:ind w:firstLine="0"/>
        <w:rPr>
          <w:rFonts w:cs="Times New Roman"/>
        </w:rPr>
      </w:pPr>
      <w:r w:rsidRPr="00887A76">
        <w:rPr>
          <w:rFonts w:cs="Times New Roman"/>
        </w:rPr>
        <w:t xml:space="preserve">Бухгалтерская (финансовая) отчетность в Российской </w:t>
      </w:r>
      <w:r w:rsidR="003E24F2" w:rsidRPr="00887A76">
        <w:rPr>
          <w:rFonts w:cs="Times New Roman"/>
        </w:rPr>
        <w:t xml:space="preserve">Федерации </w:t>
      </w:r>
      <w:r w:rsidRPr="00887A76">
        <w:rPr>
          <w:rFonts w:cs="Times New Roman"/>
        </w:rPr>
        <w:t>подготавливается на основании Федерального закона от 06.12.2011 N 402-ФЗ "О бухгалтерском учете"</w:t>
      </w:r>
      <w:r w:rsidR="00635762" w:rsidRPr="00887A76">
        <w:rPr>
          <w:rFonts w:cs="Times New Roman"/>
        </w:rPr>
        <w:t>.</w:t>
      </w:r>
      <w:r w:rsidRPr="00887A76">
        <w:rPr>
          <w:rFonts w:cs="Times New Roman"/>
        </w:rPr>
        <w:t xml:space="preserve"> </w:t>
      </w:r>
      <w:r w:rsidR="00635762" w:rsidRPr="00887A76">
        <w:rPr>
          <w:rFonts w:cs="Times New Roman"/>
        </w:rPr>
        <w:t>С</w:t>
      </w:r>
      <w:r w:rsidRPr="00887A76">
        <w:rPr>
          <w:rFonts w:cs="Times New Roman"/>
        </w:rPr>
        <w:t>огласно пункт</w:t>
      </w:r>
      <w:r w:rsidR="00C64823">
        <w:rPr>
          <w:rFonts w:cs="Times New Roman"/>
        </w:rPr>
        <w:t>у</w:t>
      </w:r>
      <w:r w:rsidRPr="00887A76">
        <w:rPr>
          <w:rFonts w:cs="Times New Roman"/>
        </w:rPr>
        <w:t xml:space="preserve"> 1 статьи 1 </w:t>
      </w:r>
      <w:r w:rsidR="00635762" w:rsidRPr="00887A76">
        <w:rPr>
          <w:rFonts w:cs="Times New Roman"/>
        </w:rPr>
        <w:t>Федерального закона от 06.12.2011 N 402-ФЗ "О бухгалтерском учете" его целями</w:t>
      </w:r>
      <w:r w:rsidRPr="00887A76">
        <w:rPr>
          <w:rFonts w:cs="Times New Roman"/>
        </w:rPr>
        <w:t xml:space="preserve">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 а также издаваемыми в рамках Закона N 402-ФЗ нормативными актами.</w:t>
      </w:r>
    </w:p>
    <w:p w14:paraId="0DC54F5F" w14:textId="77777777" w:rsidR="006E5097" w:rsidRPr="00887A76" w:rsidRDefault="00E40455">
      <w:pPr>
        <w:ind w:firstLine="0"/>
        <w:rPr>
          <w:rFonts w:cs="Times New Roman"/>
        </w:rPr>
      </w:pPr>
      <w:r w:rsidRPr="00887A76">
        <w:rPr>
          <w:rFonts w:cs="Times New Roman"/>
        </w:rPr>
        <w:t>Предлагаемая в шаблонах аудиторских заключений, разработанных Советом по аудиторской деятельности, а также шаблонах аудиторских заключений, разработанных СРО РСА, формулировка описания применимой концепции подготовки финансовой отчетности «правила составления бухгалтерской (финансовой) отчетности, установленные в Российской Федерации» соответствует принципам, содержащимся в МСА и объединяет как Закон N 402-ФЗ, так и принятые на его основании стандарты и иные документы, регулирующие процедуры подготовки бухгалтерской (финансовой) отчетности.</w:t>
      </w:r>
    </w:p>
    <w:p w14:paraId="6582B4E5" w14:textId="27600495" w:rsidR="006E5097" w:rsidRPr="00887A76" w:rsidRDefault="00E40455">
      <w:pPr>
        <w:pStyle w:val="1"/>
        <w:numPr>
          <w:ilvl w:val="0"/>
          <w:numId w:val="0"/>
        </w:numPr>
        <w:jc w:val="both"/>
        <w:rPr>
          <w:rFonts w:ascii="Times New Roman" w:hAnsi="Times New Roman" w:cs="Times New Roman"/>
        </w:rPr>
      </w:pPr>
      <w:bookmarkStart w:id="4" w:name="_Toc6223595"/>
      <w:bookmarkStart w:id="5" w:name="_Toc9603137"/>
      <w:r w:rsidRPr="00887A76">
        <w:rPr>
          <w:rFonts w:ascii="Times New Roman" w:hAnsi="Times New Roman" w:cs="Times New Roman"/>
        </w:rPr>
        <w:lastRenderedPageBreak/>
        <w:t>Использование формулировки «бухгалтерская» или «бухгалтерская (финансовая) отчетность»</w:t>
      </w:r>
      <w:bookmarkEnd w:id="4"/>
      <w:bookmarkEnd w:id="5"/>
    </w:p>
    <w:p w14:paraId="626296AC" w14:textId="4D347E89" w:rsidR="006E5097" w:rsidRPr="00887A76" w:rsidRDefault="00E40455">
      <w:pPr>
        <w:spacing w:before="120"/>
        <w:ind w:firstLine="0"/>
        <w:rPr>
          <w:rFonts w:cs="Times New Roman"/>
        </w:rPr>
      </w:pPr>
      <w:r w:rsidRPr="00887A76">
        <w:rPr>
          <w:rFonts w:cs="Times New Roman"/>
        </w:rPr>
        <w:t>Термин «бухгалтерская (</w:t>
      </w:r>
      <w:r w:rsidR="00E72CB0" w:rsidRPr="00887A76">
        <w:rPr>
          <w:rFonts w:cs="Times New Roman"/>
        </w:rPr>
        <w:t>финансовая</w:t>
      </w:r>
      <w:r w:rsidRPr="00887A76">
        <w:rPr>
          <w:rFonts w:cs="Times New Roman"/>
        </w:rPr>
        <w:t xml:space="preserve">) отчетность» введен и используется в Федеральном законе от 06.12.2011 N 402-ФЗ "О бухгалтерском учете", в частности статья 13 указанного Закона устанавливает общие требования к бухгалтерской (финансовой) отчетности, статья 14 определяет состав бухгалтерской (финансовой) отчетности, статья 16 - особенности бухгалтерской (финансовой) отчетности при реорганизации юридического лица и т.д. </w:t>
      </w:r>
    </w:p>
    <w:p w14:paraId="01EBDF83" w14:textId="7C4D903A" w:rsidR="00D16A6C" w:rsidRPr="00887A76" w:rsidRDefault="00D16A6C">
      <w:pPr>
        <w:spacing w:before="120"/>
        <w:ind w:firstLine="0"/>
        <w:rPr>
          <w:rFonts w:cs="Times New Roman"/>
        </w:rPr>
      </w:pPr>
      <w:r w:rsidRPr="00887A76">
        <w:rPr>
          <w:rFonts w:cs="Times New Roman"/>
        </w:rPr>
        <w:t>Подзаконные нормативные акты, в которых используется иная терминология, не могут противоречить нормам закона.</w:t>
      </w:r>
    </w:p>
    <w:p w14:paraId="7B3B2A62" w14:textId="77777777" w:rsidR="006E5097" w:rsidRPr="00887A76" w:rsidRDefault="00E40455">
      <w:pPr>
        <w:ind w:firstLine="0"/>
        <w:rPr>
          <w:rFonts w:cs="Times New Roman"/>
        </w:rPr>
      </w:pPr>
      <w:r w:rsidRPr="00887A76">
        <w:rPr>
          <w:rFonts w:cs="Times New Roman"/>
        </w:rPr>
        <w:t>Таким образом, использование иной терминологии будет являться несоответствием требованиям законодательства Российской Федерации в области бухгалтерского учета, несмотря на то, что в Международных стандартах аудита термин «бухгалтерская (финансовая) отчетность» не используется.</w:t>
      </w:r>
    </w:p>
    <w:p w14:paraId="27D5F301" w14:textId="299C9216" w:rsidR="006E5097" w:rsidRPr="00887A76" w:rsidRDefault="00E40455">
      <w:pPr>
        <w:pStyle w:val="1"/>
        <w:numPr>
          <w:ilvl w:val="0"/>
          <w:numId w:val="0"/>
        </w:numPr>
        <w:jc w:val="both"/>
        <w:rPr>
          <w:rFonts w:ascii="Times New Roman" w:hAnsi="Times New Roman" w:cs="Times New Roman"/>
        </w:rPr>
      </w:pPr>
      <w:bookmarkStart w:id="6" w:name="_Toc6223596"/>
      <w:bookmarkStart w:id="7" w:name="_Toc9603138"/>
      <w:r w:rsidRPr="00887A76">
        <w:rPr>
          <w:rFonts w:ascii="Times New Roman" w:hAnsi="Times New Roman" w:cs="Times New Roman"/>
        </w:rPr>
        <w:t>Обязательность указания формулировки «включая краткий обзор основных положений учетной политики» в разделе «Мнение» аудиторского заключения</w:t>
      </w:r>
      <w:bookmarkEnd w:id="6"/>
      <w:bookmarkEnd w:id="7"/>
    </w:p>
    <w:p w14:paraId="55D83B83" w14:textId="54E3FAD1" w:rsidR="006E5097" w:rsidRPr="00887A76" w:rsidRDefault="00E40455">
      <w:pPr>
        <w:spacing w:before="120"/>
        <w:ind w:firstLine="0"/>
        <w:rPr>
          <w:rFonts w:cs="Times New Roman"/>
        </w:rPr>
      </w:pPr>
      <w:r w:rsidRPr="00887A76">
        <w:rPr>
          <w:rFonts w:cs="Times New Roman"/>
        </w:rPr>
        <w:t>Согласно пункт</w:t>
      </w:r>
      <w:r w:rsidR="006D63F3">
        <w:rPr>
          <w:rFonts w:cs="Times New Roman"/>
        </w:rPr>
        <w:t>у</w:t>
      </w:r>
      <w:r w:rsidRPr="00887A76">
        <w:rPr>
          <w:rFonts w:cs="Times New Roman"/>
        </w:rPr>
        <w:t xml:space="preserve"> 24 </w:t>
      </w:r>
      <w:r w:rsidR="009634AF" w:rsidRPr="00887A76">
        <w:rPr>
          <w:rFonts w:cs="Times New Roman"/>
        </w:rPr>
        <w:t xml:space="preserve">Международного стандарта аудита </w:t>
      </w:r>
      <w:r w:rsidRPr="00887A76">
        <w:rPr>
          <w:rFonts w:cs="Times New Roman"/>
        </w:rPr>
        <w:t>700 (пересмотренного) «Формирование мнения и составление заключения о финансовой отчетности» в разделе «Мнение» аудиторского заключения также необходимо, в частности указать название каждого отчета, который входит в состав финансовой отчетности, а также дать ссылку на примечания, включая краткий обзор основных положений учетной политики.</w:t>
      </w:r>
    </w:p>
    <w:p w14:paraId="636FFBBC" w14:textId="77777777" w:rsidR="006E5097" w:rsidRPr="00887A76" w:rsidRDefault="00E40455">
      <w:pPr>
        <w:ind w:firstLine="0"/>
        <w:rPr>
          <w:rFonts w:cs="Times New Roman"/>
        </w:rPr>
      </w:pPr>
      <w:r w:rsidRPr="00887A76">
        <w:rPr>
          <w:rFonts w:cs="Times New Roman"/>
        </w:rPr>
        <w:t>Порядок составления бухгалтерской (финансовой) отчетности в Российской Федерации регулируется Федеральным законом от 06.12.2011 N 402-ФЗ "О бухгалтерском учете", статья 14 которого устанавливает состав бухгалтерской (финансовой) отчетности. В общем случае годовая бухгалтерская (финансовая) отчетность состоит из бухгалтерского баланса, отчета о финансовых результатах и приложений к ним.</w:t>
      </w:r>
    </w:p>
    <w:p w14:paraId="5A1951C2" w14:textId="070084AB" w:rsidR="006E5097" w:rsidRPr="00887A76" w:rsidRDefault="00E40455">
      <w:pPr>
        <w:ind w:firstLine="0"/>
        <w:rPr>
          <w:rFonts w:cs="Times New Roman"/>
        </w:rPr>
      </w:pPr>
      <w:r w:rsidRPr="00887A76">
        <w:rPr>
          <w:rFonts w:cs="Times New Roman"/>
        </w:rPr>
        <w:t>Согласно пункт</w:t>
      </w:r>
      <w:r w:rsidR="006D63F3">
        <w:rPr>
          <w:rFonts w:cs="Times New Roman"/>
        </w:rPr>
        <w:t>у</w:t>
      </w:r>
      <w:r w:rsidRPr="00887A76">
        <w:rPr>
          <w:rFonts w:cs="Times New Roman"/>
        </w:rPr>
        <w:t xml:space="preserve"> 17 ПБУ 1/2008 "Учетная политика организации", утвержденного Приказом Минфина России от 06.10.2008 N 106н, организация должна раскрывать принятые при формировании учетной политики способы ведения бухгалтерского учета, без знания о применении которых заинтересованными пользователями бухгалтерской (финансовой) отчетности невозможна достоверная оценка финансового положения организации, финансовых результатов ее деятельности и (или) движения денежных средств.</w:t>
      </w:r>
    </w:p>
    <w:p w14:paraId="18625FFD" w14:textId="752ADB9D" w:rsidR="006E5097" w:rsidRPr="00887A76" w:rsidRDefault="00E40455">
      <w:pPr>
        <w:ind w:firstLine="0"/>
        <w:rPr>
          <w:rFonts w:cs="Times New Roman"/>
        </w:rPr>
      </w:pPr>
      <w:r w:rsidRPr="00887A76">
        <w:rPr>
          <w:rFonts w:cs="Times New Roman"/>
        </w:rPr>
        <w:t>При этом согласно пункт</w:t>
      </w:r>
      <w:r w:rsidR="00C64823">
        <w:rPr>
          <w:rFonts w:cs="Times New Roman"/>
        </w:rPr>
        <w:t>у</w:t>
      </w:r>
      <w:r w:rsidRPr="00887A76">
        <w:rPr>
          <w:rFonts w:cs="Times New Roman"/>
        </w:rPr>
        <w:t xml:space="preserve"> 3 ПБУ 1/2008 обязанность в части раскрытия учетной политики возлагается на организации, публикующие свою бухгалтерскую отчетность полностью или частично согласно законодательству Российской Федерации, учредительным документам, либо организации могут раскрывать положения учетной политики по собственной инициативе.</w:t>
      </w:r>
    </w:p>
    <w:p w14:paraId="11091E97" w14:textId="4B40A4D8" w:rsidR="006E5097" w:rsidRPr="00887A76" w:rsidRDefault="00E40455">
      <w:pPr>
        <w:ind w:firstLine="0"/>
        <w:rPr>
          <w:rFonts w:cs="Times New Roman"/>
        </w:rPr>
      </w:pPr>
      <w:r w:rsidRPr="00887A76">
        <w:rPr>
          <w:rFonts w:cs="Times New Roman"/>
        </w:rPr>
        <w:t xml:space="preserve">Таким образом, в отчетность, составленную по правилам, принятыми в Российской Федерации, могут не включаться положения учетной политики, если отчитывающаяся организация не публикует свою отчетность. Вследствие этого указания на краткие </w:t>
      </w:r>
      <w:r w:rsidRPr="00887A76">
        <w:rPr>
          <w:rFonts w:cs="Times New Roman"/>
        </w:rPr>
        <w:lastRenderedPageBreak/>
        <w:t>положения учетной политики в разделе «Мнение» аудиторского заключения не приводятся, если сама отчетность не содержит раскрытия положений учетной политики.</w:t>
      </w:r>
    </w:p>
    <w:p w14:paraId="25E74ABE" w14:textId="77777777" w:rsidR="006E5097" w:rsidRPr="00887A76" w:rsidRDefault="00E40455">
      <w:pPr>
        <w:ind w:firstLine="0"/>
        <w:rPr>
          <w:rFonts w:cs="Times New Roman"/>
        </w:rPr>
      </w:pPr>
      <w:r w:rsidRPr="00887A76">
        <w:rPr>
          <w:rFonts w:cs="Times New Roman"/>
        </w:rPr>
        <w:t xml:space="preserve">В иных случаях, когда требования применимой концепции подготовки финансовой отчетности предусматривают раскрытие в пояснениях положений учетной политики, в разделе «Мнение» аудиторского заключения включается фраза «включая краткий обзор основных положений учетной политики» или аналогичная ей. </w:t>
      </w:r>
    </w:p>
    <w:p w14:paraId="352B243B" w14:textId="77777777" w:rsidR="006E5097" w:rsidRPr="00887A76" w:rsidRDefault="00E40455">
      <w:pPr>
        <w:pStyle w:val="1"/>
        <w:numPr>
          <w:ilvl w:val="0"/>
          <w:numId w:val="0"/>
        </w:numPr>
        <w:jc w:val="both"/>
        <w:rPr>
          <w:rFonts w:ascii="Times New Roman" w:hAnsi="Times New Roman" w:cs="Times New Roman"/>
        </w:rPr>
      </w:pPr>
      <w:bookmarkStart w:id="8" w:name="_Toc6223597"/>
      <w:bookmarkStart w:id="9" w:name="_Toc9603139"/>
      <w:r w:rsidRPr="00887A76">
        <w:rPr>
          <w:rFonts w:ascii="Times New Roman" w:hAnsi="Times New Roman" w:cs="Times New Roman"/>
        </w:rPr>
        <w:t>Дата выпуска аудиторского заключения и дата получения письменных заявлений.</w:t>
      </w:r>
      <w:bookmarkEnd w:id="8"/>
      <w:bookmarkEnd w:id="9"/>
    </w:p>
    <w:p w14:paraId="5319B0AB" w14:textId="77777777" w:rsidR="006E5097" w:rsidRPr="00887A76" w:rsidRDefault="00E40455">
      <w:pPr>
        <w:spacing w:before="120"/>
        <w:ind w:firstLine="0"/>
        <w:rPr>
          <w:rFonts w:cs="Times New Roman"/>
        </w:rPr>
      </w:pPr>
      <w:r w:rsidRPr="00887A76">
        <w:rPr>
          <w:rFonts w:cs="Times New Roman"/>
        </w:rPr>
        <w:t>Пункт 14 МСА 580 «Письменные заявления» устанавливает, что дата письменных заявлений должна быть по возможности максимально приближенной к дате аудиторского заключения в отношении финансовой отчетности, но не может быть позже указанной даты.</w:t>
      </w:r>
    </w:p>
    <w:p w14:paraId="1B9B63AB" w14:textId="77777777" w:rsidR="006E5097" w:rsidRPr="00887A76" w:rsidRDefault="00E40455">
      <w:pPr>
        <w:ind w:firstLine="0"/>
        <w:rPr>
          <w:rFonts w:cs="Times New Roman"/>
        </w:rPr>
      </w:pPr>
      <w:r w:rsidRPr="00887A76">
        <w:rPr>
          <w:rFonts w:cs="Times New Roman"/>
        </w:rPr>
        <w:t>Стандарты не устанавливают конкретных минимальных сроков между датой письменных заявлений и датой выпуска аудиторского заключения.</w:t>
      </w:r>
    </w:p>
    <w:p w14:paraId="334B5EE7" w14:textId="77777777" w:rsidR="006E5097" w:rsidRPr="00887A76" w:rsidRDefault="00E40455">
      <w:pPr>
        <w:ind w:firstLine="0"/>
        <w:rPr>
          <w:rFonts w:cs="Times New Roman"/>
        </w:rPr>
      </w:pPr>
      <w:r w:rsidRPr="00887A76">
        <w:rPr>
          <w:rFonts w:cs="Times New Roman"/>
        </w:rPr>
        <w:t>Представляется, что такие сроки должны быть разумными, с учетом того, что как сказано в пункте А15 МСА 580, так как аудитора интересуют события, имевшие место вплоть до даты аудиторского заключения, поскольку они могут потребовать внесения корректировок или раскрытия информации в финансовой отчетности, письменные заявления руководства должны быть датированы числом, которое по возможности максимально приближено к дате аудиторского заключения о финансовой отчетности, но не позже этой даты.</w:t>
      </w:r>
    </w:p>
    <w:p w14:paraId="6D849E34" w14:textId="7A7E535A" w:rsidR="006E5097" w:rsidRPr="00887A76" w:rsidRDefault="00E40455">
      <w:pPr>
        <w:ind w:firstLine="0"/>
        <w:rPr>
          <w:rFonts w:cs="Times New Roman"/>
        </w:rPr>
      </w:pPr>
      <w:r w:rsidRPr="00887A76">
        <w:rPr>
          <w:rFonts w:cs="Times New Roman"/>
        </w:rPr>
        <w:t>Приемлемость срока зависит от конкретных обстоятельств задания и от профессионального мнения аудитора, однако, она вряд ли может быть больше одного</w:t>
      </w:r>
      <w:r w:rsidR="00AA1528" w:rsidRPr="00887A76">
        <w:rPr>
          <w:rFonts w:cs="Times New Roman"/>
        </w:rPr>
        <w:t xml:space="preserve"> рабочего</w:t>
      </w:r>
      <w:r w:rsidRPr="00887A76">
        <w:rPr>
          <w:rFonts w:cs="Times New Roman"/>
        </w:rPr>
        <w:t xml:space="preserve"> дня. То есть, в обычной ситуации письмо-представление должно быть подписано в день выпуска аудиторского заключения. </w:t>
      </w:r>
    </w:p>
    <w:p w14:paraId="4ED11F8A" w14:textId="000A9DA9" w:rsidR="006E5097" w:rsidRPr="00887A76" w:rsidRDefault="00E40455" w:rsidP="002E0AC8">
      <w:pPr>
        <w:pStyle w:val="1"/>
        <w:numPr>
          <w:ilvl w:val="0"/>
          <w:numId w:val="0"/>
        </w:numPr>
        <w:jc w:val="both"/>
        <w:rPr>
          <w:rFonts w:ascii="Times New Roman" w:hAnsi="Times New Roman" w:cs="Times New Roman"/>
          <w:b w:val="0"/>
        </w:rPr>
      </w:pPr>
      <w:bookmarkStart w:id="10" w:name="_Toc9603140"/>
      <w:r w:rsidRPr="00887A76">
        <w:rPr>
          <w:rFonts w:ascii="Times New Roman" w:hAnsi="Times New Roman" w:cs="Times New Roman"/>
        </w:rPr>
        <w:t>Должны ли в рабочих документах аудитора содержаться копии документов аудируемого лица?</w:t>
      </w:r>
      <w:bookmarkEnd w:id="10"/>
    </w:p>
    <w:p w14:paraId="47B3C19B" w14:textId="77777777" w:rsidR="006E5097" w:rsidRPr="00887A76" w:rsidRDefault="00E40455" w:rsidP="006D63F3">
      <w:pPr>
        <w:spacing w:before="120"/>
        <w:ind w:firstLine="0"/>
        <w:rPr>
          <w:rFonts w:cs="Times New Roman"/>
        </w:rPr>
      </w:pPr>
      <w:r w:rsidRPr="00887A76">
        <w:rPr>
          <w:rFonts w:cs="Times New Roman"/>
        </w:rPr>
        <w:t>Объем хранимых в рабочих файлах аудитора доказательств, включая выдержки или копии документов аудируемого лица, определяется конкретными условиями аудиторского задания.</w:t>
      </w:r>
    </w:p>
    <w:p w14:paraId="5617344B" w14:textId="7678405F" w:rsidR="006E5097" w:rsidRPr="00887A76" w:rsidRDefault="00E40455" w:rsidP="002E0AC8">
      <w:pPr>
        <w:ind w:firstLine="0"/>
        <w:rPr>
          <w:rFonts w:cs="Times New Roman"/>
        </w:rPr>
      </w:pPr>
      <w:r w:rsidRPr="00887A76">
        <w:rPr>
          <w:rFonts w:cs="Times New Roman"/>
        </w:rPr>
        <w:t>При этом включение в аудиторскую документацию выдержек или копий документов аудируемой организации, как это следует из пункта А3 МСА 230 «Аудиторская документация», является правом, а не обязанностью аудитора.</w:t>
      </w:r>
    </w:p>
    <w:p w14:paraId="533E0B0B" w14:textId="77777777" w:rsidR="006E5097" w:rsidRPr="00887A76" w:rsidRDefault="00E40455" w:rsidP="002E0AC8">
      <w:pPr>
        <w:ind w:firstLine="0"/>
        <w:rPr>
          <w:rFonts w:cs="Times New Roman"/>
        </w:rPr>
      </w:pPr>
      <w:r w:rsidRPr="00887A76">
        <w:rPr>
          <w:rFonts w:cs="Times New Roman"/>
        </w:rPr>
        <w:t xml:space="preserve">Как правило, такие копии бывают необходимы для того, чтобы подтвердить значимые суждения аудитора. Хранить копии всех документов аудируемого лица, которые были рассмотрены в ходе аудите, не является обязанностью аудитора. </w:t>
      </w:r>
    </w:p>
    <w:p w14:paraId="7E23CED9" w14:textId="0BCF739C" w:rsidR="006E5097" w:rsidRPr="00887A76" w:rsidRDefault="00E40455">
      <w:pPr>
        <w:pStyle w:val="1"/>
        <w:numPr>
          <w:ilvl w:val="0"/>
          <w:numId w:val="0"/>
        </w:numPr>
        <w:rPr>
          <w:rFonts w:ascii="Times New Roman" w:hAnsi="Times New Roman" w:cs="Times New Roman"/>
        </w:rPr>
      </w:pPr>
      <w:bookmarkStart w:id="11" w:name="_Toc6223601"/>
      <w:bookmarkStart w:id="12" w:name="_Toc9603141"/>
      <w:r w:rsidRPr="00887A76">
        <w:rPr>
          <w:rFonts w:ascii="Times New Roman" w:hAnsi="Times New Roman" w:cs="Times New Roman"/>
        </w:rPr>
        <w:t xml:space="preserve">Аудиторское заключение </w:t>
      </w:r>
      <w:r w:rsidR="00A06442" w:rsidRPr="00887A76">
        <w:rPr>
          <w:rFonts w:ascii="Times New Roman" w:hAnsi="Times New Roman" w:cs="Times New Roman"/>
        </w:rPr>
        <w:t>в виде электронного документа</w:t>
      </w:r>
      <w:bookmarkEnd w:id="11"/>
      <w:bookmarkEnd w:id="12"/>
    </w:p>
    <w:p w14:paraId="3EC34455" w14:textId="075FB1B0" w:rsidR="006E5097" w:rsidRPr="00887A76" w:rsidRDefault="00E40455">
      <w:pPr>
        <w:spacing w:before="120"/>
        <w:ind w:firstLine="0"/>
        <w:rPr>
          <w:rFonts w:cs="Times New Roman"/>
        </w:rPr>
      </w:pPr>
      <w:r w:rsidRPr="00887A76">
        <w:rPr>
          <w:rFonts w:cs="Times New Roman"/>
        </w:rPr>
        <w:t>Согласно пункт</w:t>
      </w:r>
      <w:r w:rsidR="006D63F3">
        <w:rPr>
          <w:rFonts w:cs="Times New Roman"/>
        </w:rPr>
        <w:t>у</w:t>
      </w:r>
      <w:r w:rsidRPr="00887A76">
        <w:rPr>
          <w:rFonts w:cs="Times New Roman"/>
        </w:rPr>
        <w:t xml:space="preserve"> 20 МСА 700 (пересмотренного) «Формирование мнения и составление заключения о финансовой отчетности» аудиторское заключение должно быть в письменной форме, под письменным заключением понимается, как указано в пункте A18 МСА 700, заключение на бумажных и электронных носителях.</w:t>
      </w:r>
      <w:r w:rsidR="00A06442" w:rsidRPr="00887A76">
        <w:rPr>
          <w:rFonts w:cs="Times New Roman"/>
        </w:rPr>
        <w:t xml:space="preserve"> </w:t>
      </w:r>
      <w:r w:rsidR="00785BDD" w:rsidRPr="00887A76">
        <w:rPr>
          <w:rFonts w:cs="Times New Roman"/>
        </w:rPr>
        <w:t>При этом</w:t>
      </w:r>
      <w:r w:rsidR="00A06442" w:rsidRPr="00887A76">
        <w:rPr>
          <w:rFonts w:cs="Times New Roman"/>
        </w:rPr>
        <w:t xml:space="preserve"> к аудиторскому заключению </w:t>
      </w:r>
      <w:r w:rsidR="00A06442" w:rsidRPr="00887A76">
        <w:rPr>
          <w:rFonts w:cs="Times New Roman"/>
        </w:rPr>
        <w:lastRenderedPageBreak/>
        <w:t>должна прилагаться бухгалтерская (финансовая) отчетность, в отношении которой выражается мнение.</w:t>
      </w:r>
    </w:p>
    <w:p w14:paraId="64214120" w14:textId="77777777" w:rsidR="006E5097" w:rsidRPr="00887A76" w:rsidRDefault="00E40455">
      <w:pPr>
        <w:ind w:firstLine="0"/>
        <w:rPr>
          <w:rFonts w:cs="Times New Roman"/>
        </w:rPr>
      </w:pPr>
      <w:r w:rsidRPr="00887A76">
        <w:rPr>
          <w:rFonts w:cs="Times New Roman"/>
        </w:rPr>
        <w:t>Международные стандарты аудита не предусматривают одновременного выпуска аудиторского заключения и в бумажном виде и на электронных носителях. Форма выпуска аудиторского заключения определяется условиями аудиторского задания.</w:t>
      </w:r>
    </w:p>
    <w:p w14:paraId="6ACC5711" w14:textId="77777777" w:rsidR="006E5097" w:rsidRPr="00887A76" w:rsidRDefault="00E40455">
      <w:pPr>
        <w:ind w:firstLine="0"/>
        <w:rPr>
          <w:rFonts w:cs="Times New Roman"/>
        </w:rPr>
      </w:pPr>
      <w:r w:rsidRPr="00887A76">
        <w:rPr>
          <w:rFonts w:cs="Times New Roman"/>
        </w:rPr>
        <w:t>Федеральный закон от 06.04.2011 N 63-ФЗ "Об электронной подписи" в статье 2 вводит понятие «электронной подписи» - 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C351D57" w14:textId="77777777" w:rsidR="006E5097" w:rsidRPr="00887A76" w:rsidRDefault="00E40455">
      <w:pPr>
        <w:ind w:firstLine="0"/>
        <w:rPr>
          <w:rFonts w:cs="Times New Roman"/>
        </w:rPr>
      </w:pPr>
      <w:r w:rsidRPr="00887A76">
        <w:rPr>
          <w:rFonts w:cs="Times New Roman"/>
        </w:rPr>
        <w:t xml:space="preserve">В статье 6 Федерального закона от 06.04.2011 N 63-ФЗ "Об электронной подписи" определены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в частности в пункте 1 указанной статьи сказано, что 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14:paraId="5CB35750" w14:textId="77777777" w:rsidR="006E5097" w:rsidRPr="00887A76" w:rsidRDefault="00E40455">
      <w:pPr>
        <w:ind w:firstLine="0"/>
        <w:rPr>
          <w:rFonts w:cs="Times New Roman"/>
        </w:rPr>
      </w:pPr>
      <w:r w:rsidRPr="00887A76">
        <w:rPr>
          <w:rFonts w:cs="Times New Roman"/>
        </w:rPr>
        <w:t>Таким образом, выпуск аудиторского заключения в виде электронного документа, подписанного усиленной квалифицированной электронной подписью, представляется возможным при условии, что такая форма выпуска аудиторского заключения предусмотрена договорными отношениями с заказчиком.</w:t>
      </w:r>
    </w:p>
    <w:p w14:paraId="6729878E" w14:textId="73120E67" w:rsidR="006E5097" w:rsidRPr="00887A76" w:rsidRDefault="00E40455">
      <w:pPr>
        <w:pStyle w:val="1"/>
        <w:numPr>
          <w:ilvl w:val="0"/>
          <w:numId w:val="0"/>
        </w:numPr>
        <w:jc w:val="both"/>
        <w:rPr>
          <w:rFonts w:ascii="Times New Roman" w:hAnsi="Times New Roman" w:cs="Times New Roman"/>
        </w:rPr>
      </w:pPr>
      <w:bookmarkStart w:id="13" w:name="_Toc9603142"/>
      <w:bookmarkStart w:id="14" w:name="_Toc6223602"/>
      <w:r w:rsidRPr="00887A76">
        <w:rPr>
          <w:rFonts w:ascii="Times New Roman" w:hAnsi="Times New Roman" w:cs="Times New Roman"/>
        </w:rPr>
        <w:t>Формат указания лиц, отвечающих за корпоративное управление, в аудиторском заключении</w:t>
      </w:r>
      <w:bookmarkEnd w:id="13"/>
      <w:r w:rsidRPr="00887A76">
        <w:rPr>
          <w:rFonts w:ascii="Times New Roman" w:hAnsi="Times New Roman" w:cs="Times New Roman"/>
        </w:rPr>
        <w:t xml:space="preserve"> </w:t>
      </w:r>
      <w:bookmarkEnd w:id="14"/>
    </w:p>
    <w:p w14:paraId="3F423737" w14:textId="4182B01D" w:rsidR="006E5097" w:rsidRPr="00887A76" w:rsidRDefault="00E40455">
      <w:pPr>
        <w:spacing w:before="120"/>
        <w:ind w:firstLine="0"/>
        <w:rPr>
          <w:rFonts w:cs="Times New Roman"/>
        </w:rPr>
      </w:pPr>
      <w:r w:rsidRPr="00887A76">
        <w:rPr>
          <w:rFonts w:cs="Times New Roman"/>
        </w:rPr>
        <w:t>Согласно пункт</w:t>
      </w:r>
      <w:r w:rsidR="006D63F3">
        <w:rPr>
          <w:rFonts w:cs="Times New Roman"/>
        </w:rPr>
        <w:t>у</w:t>
      </w:r>
      <w:r w:rsidRPr="00887A76">
        <w:rPr>
          <w:rFonts w:cs="Times New Roman"/>
        </w:rPr>
        <w:t xml:space="preserve"> 33 МСА 700 (пересмотренный) «Формирование мнения и составление заключения о финансовой отчетности» аудиторское заключение должно включать раздел, озаглавленный «Ответственность руководства за финансовую отчетность». В аудиторском заключении должен быть использован термин, согласно правовому регулированию конкретной юрисдикции, а использование термина «руководство» не является обязательным. В некоторых юрисдикциях может быть приведено указание на лиц, отвечающих за корпоративное управление.</w:t>
      </w:r>
    </w:p>
    <w:p w14:paraId="6A4D10A5" w14:textId="77777777" w:rsidR="006E5097" w:rsidRPr="00887A76" w:rsidRDefault="00E40455">
      <w:pPr>
        <w:ind w:firstLine="0"/>
        <w:rPr>
          <w:rFonts w:cs="Times New Roman"/>
        </w:rPr>
      </w:pPr>
      <w:r w:rsidRPr="00887A76">
        <w:rPr>
          <w:rFonts w:cs="Times New Roman"/>
        </w:rPr>
        <w:t>МСА 260 «Информационное взаимодействие с лицами, отвечающими за корпоративное управление» указывает на разнообразие структур корпоративного управления и на возможное наличие нескольких лиц и уровней корпоративного управления.</w:t>
      </w:r>
    </w:p>
    <w:p w14:paraId="298477B7" w14:textId="77777777" w:rsidR="006E5097" w:rsidRPr="00887A76" w:rsidRDefault="00E40455">
      <w:pPr>
        <w:ind w:firstLine="0"/>
        <w:rPr>
          <w:rFonts w:cs="Times New Roman"/>
        </w:rPr>
      </w:pPr>
      <w:r w:rsidRPr="00887A76">
        <w:rPr>
          <w:rFonts w:cs="Times New Roman"/>
        </w:rPr>
        <w:t xml:space="preserve">Поэтому Международные стандарты аудита не предусматривают конкретизации ни должностей руководства, ни должностей или позиций лиц, отвечающих за корпоративное управление. </w:t>
      </w:r>
    </w:p>
    <w:p w14:paraId="59F15EED" w14:textId="4757764C" w:rsidR="006E5097" w:rsidRPr="00887A76" w:rsidRDefault="00E40455">
      <w:pPr>
        <w:ind w:firstLine="0"/>
        <w:rPr>
          <w:rFonts w:cs="Times New Roman"/>
        </w:rPr>
      </w:pPr>
      <w:r w:rsidRPr="00887A76">
        <w:rPr>
          <w:rFonts w:cs="Times New Roman"/>
        </w:rPr>
        <w:t xml:space="preserve">Таким образом, указание в разделе «Ответственность за финансовую отчетность» формулировки «руководство и лица, отвечающие за корпоративное управление» без </w:t>
      </w:r>
      <w:r w:rsidRPr="00887A76">
        <w:rPr>
          <w:rFonts w:cs="Times New Roman"/>
        </w:rPr>
        <w:lastRenderedPageBreak/>
        <w:t xml:space="preserve">указания наименования органа, должности и </w:t>
      </w:r>
      <w:r w:rsidR="009E63E3" w:rsidRPr="00887A76">
        <w:rPr>
          <w:rFonts w:cs="Times New Roman"/>
        </w:rPr>
        <w:t>имен представляется достаточным, однако аудитор может счесть необходимым указать конкретную информацию о лице, отвечающем за корпоративное управление.</w:t>
      </w:r>
    </w:p>
    <w:p w14:paraId="1BD393D3" w14:textId="77777777" w:rsidR="006E5097" w:rsidRPr="00887A76" w:rsidRDefault="00E40455" w:rsidP="002E0AC8">
      <w:pPr>
        <w:pStyle w:val="1"/>
        <w:numPr>
          <w:ilvl w:val="0"/>
          <w:numId w:val="0"/>
        </w:numPr>
        <w:jc w:val="both"/>
        <w:rPr>
          <w:rFonts w:ascii="Times New Roman" w:hAnsi="Times New Roman" w:cs="Times New Roman"/>
        </w:rPr>
      </w:pPr>
      <w:bookmarkStart w:id="15" w:name="_Toc9603143"/>
      <w:r w:rsidRPr="00887A76">
        <w:rPr>
          <w:rFonts w:ascii="Times New Roman" w:hAnsi="Times New Roman" w:cs="Times New Roman"/>
        </w:rPr>
        <w:t>Подписание аудиторского заключения</w:t>
      </w:r>
      <w:bookmarkEnd w:id="15"/>
    </w:p>
    <w:p w14:paraId="1EDAC472" w14:textId="77777777" w:rsidR="006E5097" w:rsidRPr="00887A76" w:rsidRDefault="00E40455">
      <w:pPr>
        <w:ind w:firstLine="0"/>
        <w:rPr>
          <w:rFonts w:eastAsia="Times New Roman" w:cs="Times New Roman"/>
          <w:b/>
          <w:szCs w:val="24"/>
          <w:u w:val="single"/>
          <w:lang w:eastAsia="ru-RU"/>
        </w:rPr>
      </w:pPr>
      <w:r w:rsidRPr="00887A76">
        <w:rPr>
          <w:rFonts w:eastAsia="Times New Roman" w:cs="Times New Roman"/>
          <w:b/>
          <w:szCs w:val="24"/>
          <w:u w:val="single"/>
          <w:lang w:eastAsia="ru-RU"/>
        </w:rPr>
        <w:t>Количество подписей</w:t>
      </w:r>
    </w:p>
    <w:p w14:paraId="49AF0522" w14:textId="4F75C75C" w:rsidR="006E5097" w:rsidRPr="00887A76" w:rsidRDefault="00E40455" w:rsidP="004F3A97">
      <w:pPr>
        <w:spacing w:after="120"/>
        <w:ind w:firstLine="0"/>
        <w:rPr>
          <w:rFonts w:cs="Times New Roman"/>
          <w:szCs w:val="24"/>
        </w:rPr>
      </w:pPr>
      <w:r w:rsidRPr="00887A76">
        <w:rPr>
          <w:rFonts w:eastAsia="Times New Roman" w:cs="Times New Roman"/>
          <w:szCs w:val="24"/>
          <w:lang w:eastAsia="ru-RU"/>
        </w:rPr>
        <w:t>В пункте A64 МСА 700 (пересмотренного) «Формирование мнения и составление заключения о финансовой отчетности» допускаются различные варианты подписания аудиторского заключения: «подпись аудитора ставится либо от имени аудиторской организации, либо от имени аудитора, либо от имени аудиторской организации и от имени аудитора в зависимости от требований конкретной юрисдикции. В некоторых юрисдикциях в дополнение к своей подписи аудитор может быть обязан указать в аудиторском заключении наличие у него квалификации профессионального бухгалтера или тот факт, что аудитор или аудиторская организация (в зависимости от обстоятельств) признаны соответствующим лицензирующим органом данной юрисдикции».</w:t>
      </w:r>
    </w:p>
    <w:p w14:paraId="5A64BA46" w14:textId="4D2EB251" w:rsidR="006E5097" w:rsidRPr="00887A76" w:rsidRDefault="00E40455" w:rsidP="004F3A97">
      <w:pPr>
        <w:autoSpaceDE w:val="0"/>
        <w:autoSpaceDN w:val="0"/>
        <w:adjustRightInd w:val="0"/>
        <w:spacing w:after="120" w:line="258" w:lineRule="auto"/>
        <w:ind w:firstLine="0"/>
        <w:rPr>
          <w:rFonts w:eastAsia="Times New Roman" w:cs="Times New Roman"/>
          <w:szCs w:val="24"/>
          <w:lang w:eastAsia="ru-RU"/>
        </w:rPr>
      </w:pPr>
      <w:r w:rsidRPr="00887A76">
        <w:rPr>
          <w:rFonts w:eastAsia="Times New Roman" w:cs="Times New Roman"/>
          <w:szCs w:val="24"/>
          <w:lang w:eastAsia="ru-RU"/>
        </w:rPr>
        <w:t xml:space="preserve">Российское законодательство (требования юрисдикции), а именно Федеральный закон от 30.12.2008 </w:t>
      </w:r>
      <w:r w:rsidR="004052DA" w:rsidRPr="00887A76">
        <w:rPr>
          <w:rFonts w:eastAsia="Times New Roman" w:cs="Times New Roman"/>
          <w:szCs w:val="24"/>
          <w:lang w:eastAsia="ru-RU"/>
        </w:rPr>
        <w:t xml:space="preserve">г. </w:t>
      </w:r>
      <w:r w:rsidRPr="00887A76">
        <w:rPr>
          <w:rFonts w:eastAsia="Times New Roman" w:cs="Times New Roman"/>
          <w:szCs w:val="24"/>
          <w:lang w:eastAsia="ru-RU"/>
        </w:rPr>
        <w:t>N 307-ФЗ "Об аудиторской деятельности" не содержат дополнительных указаний о том, как аудиторское заключение должно быть подписано.</w:t>
      </w:r>
    </w:p>
    <w:p w14:paraId="654AEFDC" w14:textId="77777777" w:rsidR="006E5097" w:rsidRPr="00887A76" w:rsidRDefault="00E40455" w:rsidP="004F3A97">
      <w:pPr>
        <w:autoSpaceDE w:val="0"/>
        <w:autoSpaceDN w:val="0"/>
        <w:adjustRightInd w:val="0"/>
        <w:spacing w:after="120" w:line="258" w:lineRule="auto"/>
        <w:ind w:firstLine="0"/>
        <w:rPr>
          <w:rFonts w:eastAsia="Times New Roman" w:cs="Times New Roman"/>
          <w:szCs w:val="24"/>
          <w:lang w:eastAsia="ru-RU"/>
        </w:rPr>
      </w:pPr>
      <w:r w:rsidRPr="00887A76">
        <w:rPr>
          <w:rFonts w:eastAsia="Times New Roman" w:cs="Times New Roman"/>
          <w:szCs w:val="24"/>
          <w:lang w:eastAsia="ru-RU"/>
        </w:rPr>
        <w:t xml:space="preserve">Таким образом, любой из отраженных в МСА 700 вариантов подписания аудиторского заключения, в том числе и отраженный в вопросе (подписание единоличным исполнительным органом от имени аудиторской организации) является правомерным. Отсутствие такого способа подписания аудиторского заключения в сборнике заключений не является препятствием к его применению, поскольку примеры заключений, в том числе и содержащиеся в Сборниках, выпущенных СРО РСА, являются рекомендуемыми. </w:t>
      </w:r>
    </w:p>
    <w:p w14:paraId="351D8C04" w14:textId="5252CA7B" w:rsidR="004052DA" w:rsidRPr="00887A76" w:rsidRDefault="004052DA" w:rsidP="004F3A97">
      <w:pPr>
        <w:autoSpaceDE w:val="0"/>
        <w:autoSpaceDN w:val="0"/>
        <w:adjustRightInd w:val="0"/>
        <w:spacing w:after="120"/>
        <w:ind w:firstLine="0"/>
        <w:rPr>
          <w:rFonts w:eastAsia="Times New Roman" w:cs="Times New Roman"/>
          <w:szCs w:val="24"/>
          <w:lang w:eastAsia="ru-RU"/>
        </w:rPr>
      </w:pPr>
      <w:r w:rsidRPr="00887A76">
        <w:rPr>
          <w:rFonts w:eastAsia="Times New Roman" w:cs="Times New Roman"/>
          <w:szCs w:val="24"/>
          <w:lang w:eastAsia="ru-RU"/>
        </w:rPr>
        <w:t>Подписание аудиторского заключения, выпущенного в отношении аудируемых лиц, поименованных в части 3 статьи 5 Федерального закона от 30.12.2008 N 307-ФЗ «Об аудиторской деятельности» осуществляется лицами, имеющими квалификационный аттестат аудитора, выданный в соответствии с Федеральным законом от 30.12.2008 г. N  307- ФЗ.</w:t>
      </w:r>
    </w:p>
    <w:p w14:paraId="06E0C25D" w14:textId="3F20EE79" w:rsidR="006E5097" w:rsidRPr="00887A76" w:rsidRDefault="004052DA" w:rsidP="004F3A97">
      <w:pPr>
        <w:autoSpaceDE w:val="0"/>
        <w:autoSpaceDN w:val="0"/>
        <w:adjustRightInd w:val="0"/>
        <w:spacing w:after="120"/>
        <w:ind w:firstLine="0"/>
        <w:rPr>
          <w:rFonts w:cs="Times New Roman"/>
          <w:b/>
          <w:u w:val="single"/>
        </w:rPr>
      </w:pPr>
      <w:r w:rsidRPr="00887A76">
        <w:rPr>
          <w:rFonts w:cs="Times New Roman"/>
          <w:b/>
          <w:u w:val="single"/>
        </w:rPr>
        <w:t>Аудит</w:t>
      </w:r>
      <w:r w:rsidR="00E40455" w:rsidRPr="00887A76">
        <w:rPr>
          <w:rFonts w:cs="Times New Roman"/>
          <w:b/>
          <w:u w:val="single"/>
        </w:rPr>
        <w:t xml:space="preserve"> годовой</w:t>
      </w:r>
      <w:r w:rsidRPr="00887A76">
        <w:rPr>
          <w:rFonts w:cs="Times New Roman"/>
          <w:b/>
          <w:u w:val="single"/>
        </w:rPr>
        <w:t xml:space="preserve"> финансовой</w:t>
      </w:r>
      <w:r w:rsidR="00E40455" w:rsidRPr="00887A76">
        <w:rPr>
          <w:rFonts w:cs="Times New Roman"/>
          <w:b/>
          <w:u w:val="single"/>
        </w:rPr>
        <w:t xml:space="preserve"> отчетности, составленной по МСФО</w:t>
      </w:r>
    </w:p>
    <w:p w14:paraId="778D0B6D" w14:textId="3A6C41E0" w:rsidR="006E5097" w:rsidRPr="00887A76" w:rsidRDefault="00E40455" w:rsidP="004F3A97">
      <w:pPr>
        <w:autoSpaceDE w:val="0"/>
        <w:autoSpaceDN w:val="0"/>
        <w:adjustRightInd w:val="0"/>
        <w:spacing w:after="120"/>
        <w:ind w:firstLine="0"/>
        <w:rPr>
          <w:rFonts w:eastAsia="Times New Roman" w:cs="Times New Roman"/>
          <w:szCs w:val="24"/>
          <w:lang w:eastAsia="ru-RU"/>
        </w:rPr>
      </w:pPr>
      <w:r w:rsidRPr="00887A76">
        <w:rPr>
          <w:rFonts w:eastAsia="Times New Roman" w:cs="Times New Roman"/>
          <w:szCs w:val="24"/>
          <w:lang w:eastAsia="ru-RU"/>
        </w:rPr>
        <w:t>Согласно пункт</w:t>
      </w:r>
      <w:r w:rsidR="006D63F3">
        <w:rPr>
          <w:rFonts w:eastAsia="Times New Roman" w:cs="Times New Roman"/>
          <w:szCs w:val="24"/>
          <w:lang w:eastAsia="ru-RU"/>
        </w:rPr>
        <w:t>у</w:t>
      </w:r>
      <w:r w:rsidRPr="00887A76">
        <w:rPr>
          <w:rFonts w:eastAsia="Times New Roman" w:cs="Times New Roman"/>
          <w:szCs w:val="24"/>
          <w:lang w:eastAsia="ru-RU"/>
        </w:rPr>
        <w:t xml:space="preserve"> 3 статьи 1 Федерального закона от 27.07.2010 № 208-ФЗ "О консолидированной финансовой отчетности" консолидированная финансовая отчетность составляется в соответствии с МСФО. Субъекты, на которых распространяется действие этого закона, поименованы в пункте 1 указанного закона.</w:t>
      </w:r>
    </w:p>
    <w:p w14:paraId="78FC43CA" w14:textId="77777777" w:rsidR="006E5097" w:rsidRPr="00887A76" w:rsidRDefault="00E40455" w:rsidP="004F3A97">
      <w:pPr>
        <w:autoSpaceDE w:val="0"/>
        <w:autoSpaceDN w:val="0"/>
        <w:adjustRightInd w:val="0"/>
        <w:spacing w:after="120"/>
        <w:ind w:firstLine="0"/>
        <w:rPr>
          <w:rFonts w:eastAsia="Times New Roman" w:cs="Times New Roman"/>
          <w:szCs w:val="24"/>
          <w:lang w:eastAsia="ru-RU"/>
        </w:rPr>
      </w:pPr>
      <w:r w:rsidRPr="00887A76">
        <w:rPr>
          <w:rFonts w:eastAsia="Times New Roman" w:cs="Times New Roman"/>
          <w:szCs w:val="24"/>
          <w:lang w:eastAsia="ru-RU"/>
        </w:rPr>
        <w:t>В соответствие с подпунктом 5 пункта 1 статьи 5 Федерального закона от 30.12.2008 №307-ФЗ "Об аудиторской деятельности"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 она подлежит обязательному аудиту.</w:t>
      </w:r>
    </w:p>
    <w:p w14:paraId="00C18B81" w14:textId="3BEF48C2" w:rsidR="006E5097" w:rsidRPr="00887A76" w:rsidRDefault="00E40455" w:rsidP="004F3A97">
      <w:pPr>
        <w:autoSpaceDE w:val="0"/>
        <w:autoSpaceDN w:val="0"/>
        <w:adjustRightInd w:val="0"/>
        <w:spacing w:after="120"/>
        <w:ind w:firstLine="0"/>
        <w:rPr>
          <w:rFonts w:eastAsia="Times New Roman" w:cs="Times New Roman"/>
          <w:szCs w:val="24"/>
          <w:lang w:eastAsia="ru-RU"/>
        </w:rPr>
      </w:pPr>
      <w:r w:rsidRPr="00887A76">
        <w:rPr>
          <w:rFonts w:eastAsia="Times New Roman" w:cs="Times New Roman"/>
          <w:szCs w:val="24"/>
          <w:lang w:eastAsia="ru-RU"/>
        </w:rPr>
        <w:t xml:space="preserve">Таким образом, если проводится аудит отчетности по МСФО, подготовленной согласно закона "О консолидированной финансовой отчетности", руководителем задания по аудиту такой отчетности может быть лишь лицо, признаваемое аудитором в смысле статьи 4 </w:t>
      </w:r>
      <w:r w:rsidRPr="00887A76">
        <w:rPr>
          <w:rFonts w:eastAsia="Times New Roman" w:cs="Times New Roman"/>
          <w:szCs w:val="24"/>
          <w:lang w:eastAsia="ru-RU"/>
        </w:rPr>
        <w:lastRenderedPageBreak/>
        <w:t>Федерального закона № 307-ФЗ, то есть, имеющее квалификационный аттестат, выданный саморегулируемой организацией аудиторов в соответствии с данным законом.</w:t>
      </w:r>
    </w:p>
    <w:p w14:paraId="1C1195BA" w14:textId="4B8390FF" w:rsidR="006E5097" w:rsidRPr="00887A76" w:rsidRDefault="00E40455" w:rsidP="004F3A97">
      <w:pPr>
        <w:autoSpaceDE w:val="0"/>
        <w:autoSpaceDN w:val="0"/>
        <w:adjustRightInd w:val="0"/>
        <w:spacing w:after="120"/>
        <w:ind w:firstLine="0"/>
        <w:rPr>
          <w:rFonts w:eastAsia="Times New Roman" w:cs="Times New Roman"/>
          <w:szCs w:val="24"/>
          <w:lang w:eastAsia="ru-RU"/>
        </w:rPr>
      </w:pPr>
      <w:r w:rsidRPr="00887A76">
        <w:rPr>
          <w:rFonts w:eastAsia="Times New Roman" w:cs="Times New Roman"/>
          <w:szCs w:val="24"/>
          <w:lang w:eastAsia="ru-RU"/>
        </w:rPr>
        <w:t xml:space="preserve">В случае проведения аудита отчетности по МСФО организации, не входящей в список субъектов, поименованных в пункте 1 Федерального закона от 27.07.2010 № 208-ФЗ "О консолидированной финансовой отчетности" руководителем задания может быть аудитор с любым квалификационным аттестатом, обладающий соответствующей </w:t>
      </w:r>
      <w:r w:rsidR="00533737" w:rsidRPr="00887A76">
        <w:rPr>
          <w:rFonts w:eastAsia="Times New Roman" w:cs="Times New Roman"/>
          <w:szCs w:val="24"/>
          <w:lang w:eastAsia="ru-RU"/>
        </w:rPr>
        <w:t xml:space="preserve">компетенцией </w:t>
      </w:r>
      <w:r w:rsidRPr="00887A76">
        <w:rPr>
          <w:rFonts w:eastAsia="Times New Roman" w:cs="Times New Roman"/>
          <w:szCs w:val="24"/>
          <w:lang w:eastAsia="ru-RU"/>
        </w:rPr>
        <w:t>согласно Кодекса профессиональной этики аудиторов.</w:t>
      </w:r>
    </w:p>
    <w:p w14:paraId="69A9CD72" w14:textId="115E6C64" w:rsidR="006E5097" w:rsidRPr="00887A76" w:rsidRDefault="00E40455" w:rsidP="00A55DCB">
      <w:pPr>
        <w:pStyle w:val="1"/>
        <w:numPr>
          <w:ilvl w:val="0"/>
          <w:numId w:val="0"/>
        </w:numPr>
        <w:jc w:val="both"/>
        <w:rPr>
          <w:rFonts w:ascii="Times New Roman" w:hAnsi="Times New Roman" w:cs="Times New Roman"/>
        </w:rPr>
      </w:pPr>
      <w:bookmarkStart w:id="16" w:name="_Toc9603144"/>
      <w:r w:rsidRPr="00887A76">
        <w:rPr>
          <w:rFonts w:ascii="Times New Roman" w:hAnsi="Times New Roman" w:cs="Times New Roman"/>
        </w:rPr>
        <w:t>Содержание аудиторского заключения в случае, когда в бухгалтерской (финансовой) отчетности аудируемого лица чистые активы меньше уставного капитала</w:t>
      </w:r>
      <w:bookmarkEnd w:id="16"/>
    </w:p>
    <w:p w14:paraId="323B81B1" w14:textId="77777777" w:rsidR="006E5097" w:rsidRPr="00887A76" w:rsidRDefault="00E40455" w:rsidP="006D63F3">
      <w:pPr>
        <w:autoSpaceDE w:val="0"/>
        <w:autoSpaceDN w:val="0"/>
        <w:adjustRightInd w:val="0"/>
        <w:spacing w:before="120"/>
        <w:ind w:firstLine="0"/>
        <w:rPr>
          <w:rFonts w:eastAsia="Times New Roman" w:cs="Times New Roman"/>
          <w:szCs w:val="24"/>
          <w:lang w:eastAsia="ru-RU"/>
        </w:rPr>
      </w:pPr>
      <w:r w:rsidRPr="00887A76">
        <w:rPr>
          <w:rFonts w:eastAsia="Times New Roman" w:cs="Times New Roman"/>
          <w:szCs w:val="24"/>
          <w:lang w:eastAsia="ru-RU"/>
        </w:rPr>
        <w:t xml:space="preserve">Пункт 10 МСА 570 (пересмотренного) «Непрерывность деятельности» предусматривает, что при выполнении процедур оценки рисков в соответствии с требованиями МСА 315 (пересмотренным) аудитор должен проанализировать, имеют ли место события или условия, в результате которых могут возникнуть значительные сомнения в способности организации продолжать непрерывно свою деятельность. При этом аудитор должен установить, провело ли уже руководство предварительную оценку способности организации продолжать непрерывно свою деятельность. </w:t>
      </w:r>
    </w:p>
    <w:p w14:paraId="2FEB3B6B" w14:textId="7BCF7890" w:rsidR="006E5097" w:rsidRPr="00887A76" w:rsidRDefault="00E40455" w:rsidP="004F3A97">
      <w:pPr>
        <w:autoSpaceDE w:val="0"/>
        <w:autoSpaceDN w:val="0"/>
        <w:adjustRightInd w:val="0"/>
        <w:spacing w:after="120"/>
        <w:ind w:firstLine="0"/>
        <w:rPr>
          <w:rFonts w:eastAsia="Times New Roman" w:cs="Times New Roman"/>
          <w:szCs w:val="24"/>
          <w:lang w:eastAsia="ru-RU"/>
        </w:rPr>
      </w:pPr>
      <w:r w:rsidRPr="00887A76">
        <w:rPr>
          <w:rFonts w:eastAsia="Times New Roman" w:cs="Times New Roman"/>
          <w:szCs w:val="24"/>
          <w:lang w:eastAsia="ru-RU"/>
        </w:rPr>
        <w:t>Согласно пункт</w:t>
      </w:r>
      <w:r w:rsidR="006D63F3">
        <w:rPr>
          <w:rFonts w:eastAsia="Times New Roman" w:cs="Times New Roman"/>
          <w:szCs w:val="24"/>
          <w:lang w:eastAsia="ru-RU"/>
        </w:rPr>
        <w:t>у</w:t>
      </w:r>
      <w:r w:rsidRPr="00887A76">
        <w:rPr>
          <w:rFonts w:eastAsia="Times New Roman" w:cs="Times New Roman"/>
          <w:szCs w:val="24"/>
          <w:lang w:eastAsia="ru-RU"/>
        </w:rPr>
        <w:t xml:space="preserve"> 22 МСА 570 (пересмотренного) аудитор должен выразить немодифицированное мнение и в аудиторское заключение должен быть включен отдельный раздел под заголовком «Существенная неопределенность в отношении непрерывности деятельности» только в случае, если информация о существенной неопределенности раскрыта адекватно в финансовой отчетности. При этом раскрытие информации в финансовой отчетности предусматривает наличие соответствующего примечания в ней, к которому должно быть привлечено вни</w:t>
      </w:r>
      <w:r w:rsidR="004F3A97">
        <w:rPr>
          <w:rFonts w:eastAsia="Times New Roman" w:cs="Times New Roman"/>
          <w:szCs w:val="24"/>
          <w:lang w:eastAsia="ru-RU"/>
        </w:rPr>
        <w:t>мание в аудиторском заключении.</w:t>
      </w:r>
    </w:p>
    <w:p w14:paraId="6E5342B9" w14:textId="77777777" w:rsidR="006E5097" w:rsidRPr="00887A76" w:rsidRDefault="00E40455">
      <w:pPr>
        <w:autoSpaceDE w:val="0"/>
        <w:autoSpaceDN w:val="0"/>
        <w:adjustRightInd w:val="0"/>
        <w:spacing w:line="258" w:lineRule="auto"/>
        <w:ind w:firstLine="0"/>
        <w:rPr>
          <w:rFonts w:eastAsia="Times New Roman" w:cs="Times New Roman"/>
          <w:szCs w:val="24"/>
          <w:lang w:eastAsia="ru-RU"/>
        </w:rPr>
      </w:pPr>
      <w:r w:rsidRPr="00887A76">
        <w:rPr>
          <w:rFonts w:eastAsia="Times New Roman" w:cs="Times New Roman"/>
          <w:szCs w:val="24"/>
          <w:lang w:eastAsia="ru-RU"/>
        </w:rPr>
        <w:t xml:space="preserve">В случае, если применимой концепцией подготовки финансовой отчетности являются Российские правила подготовки бухгалтерской (финансовой) отчетности, само по себе отражение величины чистых активов в разделе 3 «Чистые активы» Отчета об изменениях капитала форм бухгалтерской отчетности организаций, утвержденных Приказом Минфина России от 02.07.2010 N 66н, не является адекватным раскрытием информации, то есть аудитор не может включить в аудиторское заключение раздел «Существенная неопределенность в отношении непрерывности деятельности» если отсутствуют соответствующие примечания к финансовой отчетности. </w:t>
      </w:r>
    </w:p>
    <w:p w14:paraId="565A58CA" w14:textId="00EA2348" w:rsidR="006E5097" w:rsidRPr="00887A76" w:rsidRDefault="00E40455" w:rsidP="004F3A97">
      <w:pPr>
        <w:autoSpaceDE w:val="0"/>
        <w:autoSpaceDN w:val="0"/>
        <w:adjustRightInd w:val="0"/>
        <w:spacing w:after="0"/>
        <w:ind w:firstLine="0"/>
        <w:rPr>
          <w:rFonts w:cs="Times New Roman"/>
        </w:rPr>
      </w:pPr>
      <w:r w:rsidRPr="00887A76">
        <w:rPr>
          <w:rFonts w:eastAsia="Times New Roman" w:cs="Times New Roman"/>
          <w:szCs w:val="24"/>
          <w:lang w:eastAsia="ru-RU"/>
        </w:rPr>
        <w:t xml:space="preserve">В соответствии с пунктом 17 МСА 570 (пересмотренного), аудитор должен оценить, получены ли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сделать вывод относительно правомерности применения этого принципа. Если аудитор надлежащим образом проанализировал обстоятельства деятельности аудируемого лица, и, несмотря на нарушение законодательных требований к величине чистых активов, пришел </w:t>
      </w:r>
      <w:r w:rsidR="00533737" w:rsidRPr="00887A76">
        <w:rPr>
          <w:rFonts w:eastAsia="Times New Roman" w:cs="Times New Roman"/>
          <w:szCs w:val="24"/>
          <w:lang w:eastAsia="ru-RU"/>
        </w:rPr>
        <w:t xml:space="preserve">к </w:t>
      </w:r>
      <w:r w:rsidRPr="00887A76">
        <w:rPr>
          <w:rFonts w:eastAsia="Times New Roman" w:cs="Times New Roman"/>
          <w:szCs w:val="24"/>
          <w:lang w:eastAsia="ru-RU"/>
        </w:rPr>
        <w:t>выводу о том, что аудируемое лицо в состоянии продолжать деятельность непрерывно,</w:t>
      </w:r>
      <w:r w:rsidR="00533737" w:rsidRPr="00887A76">
        <w:rPr>
          <w:rFonts w:eastAsia="Times New Roman" w:cs="Times New Roman"/>
          <w:szCs w:val="24"/>
          <w:lang w:eastAsia="ru-RU"/>
        </w:rPr>
        <w:t xml:space="preserve"> </w:t>
      </w:r>
      <w:r w:rsidRPr="00887A76">
        <w:rPr>
          <w:rFonts w:eastAsia="Times New Roman" w:cs="Times New Roman"/>
          <w:szCs w:val="24"/>
          <w:lang w:eastAsia="ru-RU"/>
        </w:rPr>
        <w:t>то аудитор не имеет обязанности включать раздел «Существенная неопределенность в отношении непрерывности деятельности» в аудиторское заключение либо модифицировать мнение в связи с данным вопросом.</w:t>
      </w:r>
    </w:p>
    <w:sectPr w:rsidR="006E5097" w:rsidRPr="00887A7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917B" w14:textId="77777777" w:rsidR="00475BE5" w:rsidRDefault="00475BE5">
      <w:pPr>
        <w:spacing w:after="0" w:line="240" w:lineRule="auto"/>
      </w:pPr>
      <w:r>
        <w:separator/>
      </w:r>
    </w:p>
  </w:endnote>
  <w:endnote w:type="continuationSeparator" w:id="0">
    <w:p w14:paraId="4531417A" w14:textId="77777777" w:rsidR="00475BE5" w:rsidRDefault="0047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49128"/>
      <w:docPartObj>
        <w:docPartGallery w:val="Page Numbers (Bottom of Page)"/>
        <w:docPartUnique/>
      </w:docPartObj>
    </w:sdtPr>
    <w:sdtEndPr/>
    <w:sdtContent>
      <w:p w14:paraId="1B84ADE9" w14:textId="4B80C78F" w:rsidR="006E5097" w:rsidRDefault="00E40455">
        <w:pPr>
          <w:pStyle w:val="ac"/>
          <w:jc w:val="right"/>
        </w:pPr>
        <w:r>
          <w:fldChar w:fldCharType="begin"/>
        </w:r>
        <w:r>
          <w:instrText>PAGE   \* MERGEFORMAT</w:instrText>
        </w:r>
        <w:r>
          <w:fldChar w:fldCharType="separate"/>
        </w:r>
        <w:r w:rsidR="0098560B">
          <w:rPr>
            <w:noProof/>
          </w:rPr>
          <w:t>6</w:t>
        </w:r>
        <w:r>
          <w:rPr>
            <w:noProof/>
          </w:rPr>
          <w:fldChar w:fldCharType="end"/>
        </w:r>
      </w:p>
    </w:sdtContent>
  </w:sdt>
  <w:p w14:paraId="4C109444" w14:textId="77777777" w:rsidR="006E5097" w:rsidRDefault="006E509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7416" w14:textId="77777777" w:rsidR="00475BE5" w:rsidRDefault="00475BE5">
      <w:pPr>
        <w:spacing w:after="0" w:line="240" w:lineRule="auto"/>
      </w:pPr>
      <w:r>
        <w:separator/>
      </w:r>
    </w:p>
  </w:footnote>
  <w:footnote w:type="continuationSeparator" w:id="0">
    <w:p w14:paraId="2EFD188E" w14:textId="77777777" w:rsidR="00475BE5" w:rsidRDefault="00475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F16"/>
    <w:multiLevelType w:val="hybridMultilevel"/>
    <w:tmpl w:val="6B9EF38C"/>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217279"/>
    <w:multiLevelType w:val="hybridMultilevel"/>
    <w:tmpl w:val="999A3D7A"/>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CA2C1B"/>
    <w:multiLevelType w:val="hybridMultilevel"/>
    <w:tmpl w:val="A35EC420"/>
    <w:lvl w:ilvl="0" w:tplc="04B6362C">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3" w15:restartNumberingAfterBreak="0">
    <w:nsid w:val="09745352"/>
    <w:multiLevelType w:val="hybridMultilevel"/>
    <w:tmpl w:val="5B5AF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B65CBA"/>
    <w:multiLevelType w:val="multilevel"/>
    <w:tmpl w:val="41C0CF6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0AE19D3"/>
    <w:multiLevelType w:val="hybridMultilevel"/>
    <w:tmpl w:val="C94AC542"/>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860646"/>
    <w:multiLevelType w:val="hybridMultilevel"/>
    <w:tmpl w:val="80E8CFB6"/>
    <w:lvl w:ilvl="0" w:tplc="04B6362C">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AF4142"/>
    <w:multiLevelType w:val="hybridMultilevel"/>
    <w:tmpl w:val="9104E0EA"/>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C43EAE"/>
    <w:multiLevelType w:val="hybridMultilevel"/>
    <w:tmpl w:val="999A3D7A"/>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5D4D73"/>
    <w:multiLevelType w:val="hybridMultilevel"/>
    <w:tmpl w:val="6B9EF38C"/>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78038F"/>
    <w:multiLevelType w:val="multilevel"/>
    <w:tmpl w:val="59FEE8C2"/>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C031811"/>
    <w:multiLevelType w:val="multilevel"/>
    <w:tmpl w:val="DF32138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C6F46C8"/>
    <w:multiLevelType w:val="multilevel"/>
    <w:tmpl w:val="5AB4272C"/>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0073073"/>
    <w:multiLevelType w:val="hybridMultilevel"/>
    <w:tmpl w:val="C9B0204A"/>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D35CF2"/>
    <w:multiLevelType w:val="multilevel"/>
    <w:tmpl w:val="EE501538"/>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lvl>
    <w:lvl w:ilvl="4">
      <w:start w:val="1"/>
      <w:numFmt w:val="lowerLetter"/>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5" w15:restartNumberingAfterBreak="0">
    <w:nsid w:val="38927763"/>
    <w:multiLevelType w:val="hybridMultilevel"/>
    <w:tmpl w:val="D2FE03AE"/>
    <w:lvl w:ilvl="0" w:tplc="04B6362C">
      <w:start w:val="1"/>
      <w:numFmt w:val="bullet"/>
      <w:lvlText w:val=""/>
      <w:lvlJc w:val="left"/>
      <w:pPr>
        <w:ind w:left="1065" w:hanging="70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C81F1B"/>
    <w:multiLevelType w:val="hybridMultilevel"/>
    <w:tmpl w:val="1AEE94E2"/>
    <w:lvl w:ilvl="0" w:tplc="04B6362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45B339FA"/>
    <w:multiLevelType w:val="hybridMultilevel"/>
    <w:tmpl w:val="CF1E57FC"/>
    <w:lvl w:ilvl="0" w:tplc="04B63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5B90B4B"/>
    <w:multiLevelType w:val="hybridMultilevel"/>
    <w:tmpl w:val="C9B0204A"/>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7F1E42"/>
    <w:multiLevelType w:val="hybridMultilevel"/>
    <w:tmpl w:val="47109766"/>
    <w:lvl w:ilvl="0" w:tplc="04B6362C">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9187024"/>
    <w:multiLevelType w:val="hybridMultilevel"/>
    <w:tmpl w:val="CC38F5C6"/>
    <w:lvl w:ilvl="0" w:tplc="04B63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A611D5E"/>
    <w:multiLevelType w:val="hybridMultilevel"/>
    <w:tmpl w:val="B538C692"/>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E4C040A"/>
    <w:multiLevelType w:val="hybridMultilevel"/>
    <w:tmpl w:val="5C9AED22"/>
    <w:lvl w:ilvl="0" w:tplc="04B6362C">
      <w:start w:val="1"/>
      <w:numFmt w:val="bullet"/>
      <w:lvlText w:val=""/>
      <w:lvlJc w:val="left"/>
      <w:pPr>
        <w:ind w:left="1065" w:hanging="70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EBB1759"/>
    <w:multiLevelType w:val="hybridMultilevel"/>
    <w:tmpl w:val="DDD4A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974B83"/>
    <w:multiLevelType w:val="hybridMultilevel"/>
    <w:tmpl w:val="5DEEE9B4"/>
    <w:lvl w:ilvl="0" w:tplc="5246D202">
      <w:start w:val="1"/>
      <w:numFmt w:val="lowerRoman"/>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5BC48F9"/>
    <w:multiLevelType w:val="hybridMultilevel"/>
    <w:tmpl w:val="6B9EF38C"/>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7A06485"/>
    <w:multiLevelType w:val="multilevel"/>
    <w:tmpl w:val="2020EA6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27" w15:restartNumberingAfterBreak="0">
    <w:nsid w:val="5D7A5BA8"/>
    <w:multiLevelType w:val="hybridMultilevel"/>
    <w:tmpl w:val="27204712"/>
    <w:lvl w:ilvl="0" w:tplc="27C65AC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0C319E"/>
    <w:multiLevelType w:val="hybridMultilevel"/>
    <w:tmpl w:val="4A4484C4"/>
    <w:lvl w:ilvl="0" w:tplc="04B63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EC8622A"/>
    <w:multiLevelType w:val="hybridMultilevel"/>
    <w:tmpl w:val="B4C6885C"/>
    <w:lvl w:ilvl="0" w:tplc="8F9CE2A2">
      <w:start w:val="1"/>
      <w:numFmt w:val="bullet"/>
      <w:lvlText w:val="•"/>
      <w:lvlJc w:val="left"/>
      <w:pPr>
        <w:ind w:left="1065"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F8A7A01"/>
    <w:multiLevelType w:val="hybridMultilevel"/>
    <w:tmpl w:val="723490BE"/>
    <w:lvl w:ilvl="0" w:tplc="04B63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FF335BF"/>
    <w:multiLevelType w:val="hybridMultilevel"/>
    <w:tmpl w:val="2B001B80"/>
    <w:lvl w:ilvl="0" w:tplc="04B6362C">
      <w:start w:val="1"/>
      <w:numFmt w:val="bullet"/>
      <w:lvlText w:val=""/>
      <w:lvlJc w:val="left"/>
      <w:pPr>
        <w:ind w:left="1065" w:hanging="70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5AA66A3"/>
    <w:multiLevelType w:val="hybridMultilevel"/>
    <w:tmpl w:val="0CDCCCC6"/>
    <w:lvl w:ilvl="0" w:tplc="A0E88BCE">
      <w:start w:val="1"/>
      <w:numFmt w:val="decimal"/>
      <w:pStyle w:val="List1"/>
      <w:lvlText w:val="%1."/>
      <w:lvlJc w:val="left"/>
      <w:pPr>
        <w:ind w:left="360" w:hanging="360"/>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specVanish w:val="0"/>
      </w:rPr>
    </w:lvl>
    <w:lvl w:ilvl="1" w:tplc="E628537C">
      <w:start w:val="1"/>
      <w:numFmt w:val="lowerLetter"/>
      <w:lvlText w:val="%2."/>
      <w:lvlJc w:val="left"/>
      <w:pPr>
        <w:ind w:left="1440" w:hanging="360"/>
      </w:pPr>
    </w:lvl>
    <w:lvl w:ilvl="2" w:tplc="507AC318">
      <w:start w:val="1"/>
      <w:numFmt w:val="lowerRoman"/>
      <w:lvlText w:val="%3."/>
      <w:lvlJc w:val="right"/>
      <w:pPr>
        <w:ind w:left="2160" w:hanging="180"/>
      </w:pPr>
    </w:lvl>
    <w:lvl w:ilvl="3" w:tplc="2CE0ECD8">
      <w:start w:val="1"/>
      <w:numFmt w:val="decimal"/>
      <w:lvlText w:val="%4."/>
      <w:lvlJc w:val="left"/>
      <w:pPr>
        <w:ind w:left="2880" w:hanging="360"/>
      </w:pPr>
    </w:lvl>
    <w:lvl w:ilvl="4" w:tplc="A8E25DDE">
      <w:start w:val="1"/>
      <w:numFmt w:val="lowerLetter"/>
      <w:lvlText w:val="%5."/>
      <w:lvlJc w:val="left"/>
      <w:pPr>
        <w:ind w:left="3600" w:hanging="360"/>
      </w:pPr>
    </w:lvl>
    <w:lvl w:ilvl="5" w:tplc="8F4E2036">
      <w:start w:val="1"/>
      <w:numFmt w:val="lowerRoman"/>
      <w:lvlText w:val="%6."/>
      <w:lvlJc w:val="right"/>
      <w:pPr>
        <w:ind w:left="4320" w:hanging="180"/>
      </w:pPr>
    </w:lvl>
    <w:lvl w:ilvl="6" w:tplc="178822E4">
      <w:start w:val="1"/>
      <w:numFmt w:val="decimal"/>
      <w:lvlText w:val="%7."/>
      <w:lvlJc w:val="left"/>
      <w:pPr>
        <w:ind w:left="5040" w:hanging="360"/>
      </w:pPr>
    </w:lvl>
    <w:lvl w:ilvl="7" w:tplc="D780E98C">
      <w:start w:val="1"/>
      <w:numFmt w:val="lowerLetter"/>
      <w:lvlText w:val="%8."/>
      <w:lvlJc w:val="left"/>
      <w:pPr>
        <w:ind w:left="5760" w:hanging="360"/>
      </w:pPr>
    </w:lvl>
    <w:lvl w:ilvl="8" w:tplc="409069BC">
      <w:start w:val="1"/>
      <w:numFmt w:val="lowerRoman"/>
      <w:lvlText w:val="%9."/>
      <w:lvlJc w:val="right"/>
      <w:pPr>
        <w:ind w:left="6480" w:hanging="180"/>
      </w:pPr>
    </w:lvl>
  </w:abstractNum>
  <w:abstractNum w:abstractNumId="33" w15:restartNumberingAfterBreak="0">
    <w:nsid w:val="6E185217"/>
    <w:multiLevelType w:val="multilevel"/>
    <w:tmpl w:val="7158BA1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0912F58"/>
    <w:multiLevelType w:val="hybridMultilevel"/>
    <w:tmpl w:val="EA2A0F16"/>
    <w:lvl w:ilvl="0" w:tplc="04B6362C">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5" w15:restartNumberingAfterBreak="0">
    <w:nsid w:val="78454B90"/>
    <w:multiLevelType w:val="hybridMultilevel"/>
    <w:tmpl w:val="999A3D7A"/>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737070"/>
    <w:multiLevelType w:val="hybridMultilevel"/>
    <w:tmpl w:val="B538C692"/>
    <w:lvl w:ilvl="0" w:tplc="D170342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BC04B98"/>
    <w:multiLevelType w:val="multilevel"/>
    <w:tmpl w:val="AFFE59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AC6E7B"/>
    <w:multiLevelType w:val="hybridMultilevel"/>
    <w:tmpl w:val="5A8E4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23"/>
  </w:num>
  <w:num w:numId="4">
    <w:abstractNumId w:val="26"/>
  </w:num>
  <w:num w:numId="5">
    <w:abstractNumId w:val="32"/>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1"/>
  </w:num>
  <w:num w:numId="1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 w:numId="34">
    <w:abstractNumId w:val="15"/>
  </w:num>
  <w:num w:numId="35">
    <w:abstractNumId w:val="22"/>
  </w:num>
  <w:num w:numId="36">
    <w:abstractNumId w:val="17"/>
  </w:num>
  <w:num w:numId="37">
    <w:abstractNumId w:val="34"/>
  </w:num>
  <w:num w:numId="38">
    <w:abstractNumId w:val="28"/>
  </w:num>
  <w:num w:numId="39">
    <w:abstractNumId w:val="30"/>
  </w:num>
  <w:num w:numId="40">
    <w:abstractNumId w:val="27"/>
  </w:num>
  <w:num w:numId="41">
    <w:abstractNumId w:val="27"/>
  </w:num>
  <w:num w:numId="42">
    <w:abstractNumId w:val="27"/>
  </w:num>
  <w:num w:numId="43">
    <w:abstractNumId w:val="27"/>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97"/>
    <w:rsid w:val="00007206"/>
    <w:rsid w:val="00013FCC"/>
    <w:rsid w:val="00257A71"/>
    <w:rsid w:val="002E0AC8"/>
    <w:rsid w:val="003E24F2"/>
    <w:rsid w:val="004052DA"/>
    <w:rsid w:val="00475BE5"/>
    <w:rsid w:val="004F3A97"/>
    <w:rsid w:val="00533737"/>
    <w:rsid w:val="005E447D"/>
    <w:rsid w:val="00635762"/>
    <w:rsid w:val="006D63F3"/>
    <w:rsid w:val="006E5097"/>
    <w:rsid w:val="00785BDD"/>
    <w:rsid w:val="007E57F7"/>
    <w:rsid w:val="008420F7"/>
    <w:rsid w:val="00862B52"/>
    <w:rsid w:val="00883A83"/>
    <w:rsid w:val="00887A76"/>
    <w:rsid w:val="008D505B"/>
    <w:rsid w:val="00927595"/>
    <w:rsid w:val="009634AF"/>
    <w:rsid w:val="009654BE"/>
    <w:rsid w:val="0098560B"/>
    <w:rsid w:val="009C6E08"/>
    <w:rsid w:val="009E63E3"/>
    <w:rsid w:val="00A06442"/>
    <w:rsid w:val="00A547F5"/>
    <w:rsid w:val="00A55DCB"/>
    <w:rsid w:val="00A60597"/>
    <w:rsid w:val="00AA1528"/>
    <w:rsid w:val="00AD6546"/>
    <w:rsid w:val="00AF750C"/>
    <w:rsid w:val="00B64ACB"/>
    <w:rsid w:val="00BD3B04"/>
    <w:rsid w:val="00BE7010"/>
    <w:rsid w:val="00C34260"/>
    <w:rsid w:val="00C555D2"/>
    <w:rsid w:val="00C64823"/>
    <w:rsid w:val="00C82053"/>
    <w:rsid w:val="00CE7920"/>
    <w:rsid w:val="00CE7BC0"/>
    <w:rsid w:val="00D07CBF"/>
    <w:rsid w:val="00D16A6C"/>
    <w:rsid w:val="00D21286"/>
    <w:rsid w:val="00E40455"/>
    <w:rsid w:val="00E61111"/>
    <w:rsid w:val="00E72CB0"/>
    <w:rsid w:val="00E73C19"/>
    <w:rsid w:val="00F33598"/>
    <w:rsid w:val="00F870F2"/>
    <w:rsid w:val="00F9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4A8C"/>
  <w15:docId w15:val="{4CBA3137-CF9C-4D8E-A86A-572CF284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Times New Roman" w:hAnsi="Times New Roman"/>
      <w:sz w:val="24"/>
    </w:rPr>
  </w:style>
  <w:style w:type="paragraph" w:styleId="1">
    <w:name w:val="heading 1"/>
    <w:basedOn w:val="a"/>
    <w:next w:val="a"/>
    <w:link w:val="10"/>
    <w:uiPriority w:val="9"/>
    <w:qFormat/>
    <w:pPr>
      <w:keepNext/>
      <w:keepLines/>
      <w:numPr>
        <w:numId w:val="1"/>
      </w:numPr>
      <w:spacing w:before="240" w:after="0"/>
      <w:jc w:val="left"/>
      <w:outlineLvl w:val="0"/>
    </w:pPr>
    <w:rPr>
      <w:rFonts w:asciiTheme="majorHAnsi" w:eastAsiaTheme="majorEastAsia" w:hAnsiTheme="majorHAnsi" w:cstheme="majorBidi"/>
      <w:b/>
      <w:sz w:val="32"/>
      <w:szCs w:val="32"/>
    </w:rPr>
  </w:style>
  <w:style w:type="paragraph" w:styleId="20">
    <w:name w:val="heading 2"/>
    <w:basedOn w:val="a"/>
    <w:next w:val="a"/>
    <w:link w:val="21"/>
    <w:uiPriority w:val="9"/>
    <w:unhideWhenUsed/>
    <w:qFormat/>
    <w:pPr>
      <w:keepNext/>
      <w:keepLines/>
      <w:spacing w:before="40" w:after="0" w:line="256"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pPr>
      <w:keepNext/>
      <w:keepLines/>
      <w:spacing w:before="40" w:after="0" w:line="256" w:lineRule="auto"/>
      <w:ind w:firstLine="0"/>
      <w:jc w:val="left"/>
      <w:outlineLvl w:val="2"/>
    </w:pPr>
    <w:rPr>
      <w:rFonts w:asciiTheme="majorHAnsi" w:eastAsiaTheme="majorEastAsia" w:hAnsiTheme="majorHAnsi" w:cstheme="majorBidi"/>
      <w:color w:val="1F4D78" w:themeColor="accent1" w:themeShade="7F"/>
      <w:szCs w:val="24"/>
    </w:rPr>
  </w:style>
  <w:style w:type="paragraph" w:styleId="40">
    <w:name w:val="heading 4"/>
    <w:basedOn w:val="a"/>
    <w:next w:val="a"/>
    <w:link w:val="41"/>
    <w:uiPriority w:val="9"/>
    <w:semiHidden/>
    <w:unhideWhenUsed/>
    <w:qFormat/>
    <w:pPr>
      <w:keepNext/>
      <w:keepLines/>
      <w:spacing w:before="40" w:after="0" w:line="256" w:lineRule="auto"/>
      <w:ind w:firstLine="0"/>
      <w:jc w:val="left"/>
      <w:outlineLvl w:val="3"/>
    </w:pPr>
    <w:rPr>
      <w:rFonts w:asciiTheme="majorHAnsi" w:eastAsiaTheme="majorEastAsia" w:hAnsiTheme="majorHAnsi" w:cstheme="majorBidi"/>
      <w:i/>
      <w:iCs/>
      <w:color w:val="2E74B5" w:themeColor="accent1" w:themeShade="BF"/>
      <w:sz w:val="22"/>
    </w:rPr>
  </w:style>
  <w:style w:type="paragraph" w:styleId="50">
    <w:name w:val="heading 5"/>
    <w:basedOn w:val="a"/>
    <w:next w:val="a"/>
    <w:link w:val="51"/>
    <w:uiPriority w:val="9"/>
    <w:semiHidden/>
    <w:unhideWhenUsed/>
    <w:qFormat/>
    <w:pPr>
      <w:keepNext/>
      <w:keepLines/>
      <w:spacing w:before="40" w:after="0" w:line="256" w:lineRule="auto"/>
      <w:ind w:firstLine="0"/>
      <w:jc w:val="left"/>
      <w:outlineLvl w:val="4"/>
    </w:pPr>
    <w:rPr>
      <w:rFonts w:asciiTheme="majorHAnsi" w:eastAsiaTheme="majorEastAsia" w:hAnsiTheme="majorHAnsi" w:cstheme="majorBidi"/>
      <w:color w:val="2E74B5"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ind w:firstLine="0"/>
      <w:contextualSpacing/>
      <w:jc w:val="center"/>
    </w:pPr>
    <w:rPr>
      <w:rFonts w:eastAsiaTheme="majorEastAsia" w:cstheme="majorBidi"/>
      <w:b/>
      <w:spacing w:val="-10"/>
      <w:kern w:val="28"/>
      <w:sz w:val="48"/>
      <w:szCs w:val="56"/>
    </w:rPr>
  </w:style>
  <w:style w:type="character" w:customStyle="1" w:styleId="a4">
    <w:name w:val="Заголовок Знак"/>
    <w:basedOn w:val="a0"/>
    <w:link w:val="a3"/>
    <w:uiPriority w:val="10"/>
    <w:rPr>
      <w:rFonts w:ascii="Times New Roman" w:eastAsiaTheme="majorEastAsia" w:hAnsi="Times New Roman" w:cstheme="majorBidi"/>
      <w:b/>
      <w:spacing w:val="-10"/>
      <w:kern w:val="28"/>
      <w:sz w:val="48"/>
      <w:szCs w:val="56"/>
    </w:rPr>
  </w:style>
  <w:style w:type="paragraph" w:styleId="a5">
    <w:name w:val="Subtitle"/>
    <w:basedOn w:val="a"/>
    <w:next w:val="a"/>
    <w:link w:val="a6"/>
    <w:uiPriority w:val="11"/>
    <w:qFormat/>
    <w:pPr>
      <w:numPr>
        <w:ilvl w:val="1"/>
      </w:numPr>
      <w:ind w:firstLine="709"/>
      <w:jc w:val="center"/>
    </w:pPr>
    <w:rPr>
      <w:rFonts w:eastAsiaTheme="minorEastAsia"/>
      <w:color w:val="5A5A5A" w:themeColor="text1" w:themeTint="A5"/>
      <w:spacing w:val="15"/>
      <w:sz w:val="28"/>
    </w:rPr>
  </w:style>
  <w:style w:type="character" w:customStyle="1" w:styleId="a6">
    <w:name w:val="Подзаголовок Знак"/>
    <w:basedOn w:val="a0"/>
    <w:link w:val="a5"/>
    <w:uiPriority w:val="11"/>
    <w:rPr>
      <w:rFonts w:ascii="Times New Roman" w:eastAsiaTheme="minorEastAsia" w:hAnsi="Times New Roman"/>
      <w:color w:val="5A5A5A" w:themeColor="text1" w:themeTint="A5"/>
      <w:spacing w:val="15"/>
      <w:sz w:val="28"/>
    </w:rPr>
  </w:style>
  <w:style w:type="character" w:styleId="a7">
    <w:name w:val="Book Title"/>
    <w:basedOn w:val="a0"/>
    <w:uiPriority w:val="33"/>
    <w:qFormat/>
    <w:rPr>
      <w:b/>
      <w:bCs/>
      <w:i/>
      <w:iCs/>
      <w:spacing w:val="5"/>
    </w:rPr>
  </w:style>
  <w:style w:type="character" w:customStyle="1" w:styleId="10">
    <w:name w:val="Заголовок 1 Знак"/>
    <w:basedOn w:val="a0"/>
    <w:link w:val="1"/>
    <w:uiPriority w:val="9"/>
    <w:rPr>
      <w:rFonts w:asciiTheme="majorHAnsi" w:eastAsiaTheme="majorEastAsia" w:hAnsiTheme="majorHAnsi" w:cstheme="majorBidi"/>
      <w:b/>
      <w:sz w:val="32"/>
      <w:szCs w:val="32"/>
    </w:rPr>
  </w:style>
  <w:style w:type="paragraph" w:styleId="a8">
    <w:name w:val="List Paragraph"/>
    <w:basedOn w:val="a"/>
    <w:uiPriority w:val="34"/>
    <w:qFormat/>
    <w:pPr>
      <w:ind w:left="720"/>
      <w:contextualSpacing/>
    </w:pPr>
  </w:style>
  <w:style w:type="paragraph" w:styleId="a9">
    <w:name w:val="No Spacing"/>
    <w:uiPriority w:val="1"/>
    <w:qFormat/>
    <w:pPr>
      <w:spacing w:after="0" w:line="240" w:lineRule="auto"/>
      <w:ind w:firstLine="709"/>
      <w:jc w:val="both"/>
    </w:pPr>
    <w:rPr>
      <w:rFonts w:ascii="Times New Roman" w:hAnsi="Times New Roman"/>
      <w:sz w:val="24"/>
    </w:rPr>
  </w:style>
  <w:style w:type="paragraph" w:styleId="aa">
    <w:name w:val="header"/>
    <w:basedOn w:val="a"/>
    <w:link w:val="ab"/>
    <w:uiPriority w:val="99"/>
    <w:unhideWhenUsed/>
    <w:pPr>
      <w:tabs>
        <w:tab w:val="center" w:pos="4677"/>
        <w:tab w:val="right" w:pos="9355"/>
      </w:tabs>
      <w:spacing w:after="0" w:line="240" w:lineRule="auto"/>
    </w:pPr>
  </w:style>
  <w:style w:type="character" w:customStyle="1" w:styleId="ab">
    <w:name w:val="Верхний колонтитул Знак"/>
    <w:basedOn w:val="a0"/>
    <w:link w:val="aa"/>
    <w:uiPriority w:val="99"/>
    <w:rPr>
      <w:rFonts w:ascii="Times New Roman" w:hAnsi="Times New Roman"/>
      <w:sz w:val="24"/>
    </w:rPr>
  </w:style>
  <w:style w:type="paragraph" w:styleId="ac">
    <w:name w:val="footer"/>
    <w:basedOn w:val="a"/>
    <w:link w:val="ad"/>
    <w:uiPriority w:val="99"/>
    <w:unhideWhenUsed/>
    <w:pPr>
      <w:tabs>
        <w:tab w:val="center" w:pos="4677"/>
        <w:tab w:val="right" w:pos="9355"/>
      </w:tabs>
      <w:spacing w:after="0" w:line="240" w:lineRule="auto"/>
    </w:pPr>
  </w:style>
  <w:style w:type="character" w:customStyle="1" w:styleId="ad">
    <w:name w:val="Нижний колонтитул Знак"/>
    <w:basedOn w:val="a0"/>
    <w:link w:val="ac"/>
    <w:uiPriority w:val="99"/>
    <w:rPr>
      <w:rFonts w:ascii="Times New Roman" w:hAnsi="Times New Roman"/>
      <w:sz w:val="24"/>
    </w:rPr>
  </w:style>
  <w:style w:type="character" w:customStyle="1" w:styleId="21">
    <w:name w:val="Заголовок 2 Знак"/>
    <w:basedOn w:val="a0"/>
    <w:link w:val="20"/>
    <w:uiPriority w:val="9"/>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semiHidden/>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2E74B5" w:themeColor="accent1" w:themeShade="BF"/>
    </w:rPr>
  </w:style>
  <w:style w:type="character" w:customStyle="1" w:styleId="51">
    <w:name w:val="Заголовок 5 Знак"/>
    <w:basedOn w:val="a0"/>
    <w:link w:val="50"/>
    <w:uiPriority w:val="9"/>
    <w:semiHidden/>
    <w:rPr>
      <w:rFonts w:asciiTheme="majorHAnsi" w:eastAsiaTheme="majorEastAsia" w:hAnsiTheme="majorHAnsi" w:cstheme="majorBidi"/>
      <w:color w:val="2E74B5" w:themeColor="accent1" w:themeShade="BF"/>
    </w:rPr>
  </w:style>
  <w:style w:type="character" w:styleId="ae">
    <w:name w:val="Hyperlink"/>
    <w:basedOn w:val="a0"/>
    <w:uiPriority w:val="99"/>
    <w:unhideWhenUsed/>
    <w:rPr>
      <w:color w:val="0563C1" w:themeColor="hyperlink"/>
      <w:u w:val="single"/>
    </w:rPr>
  </w:style>
  <w:style w:type="character" w:styleId="af">
    <w:name w:val="FollowedHyperlink"/>
    <w:basedOn w:val="a0"/>
    <w:uiPriority w:val="99"/>
    <w:semiHidden/>
    <w:unhideWhenUsed/>
    <w:rPr>
      <w:color w:val="954F72" w:themeColor="followedHyperlink"/>
      <w:u w:val="single"/>
    </w:rPr>
  </w:style>
  <w:style w:type="paragraph" w:styleId="11">
    <w:name w:val="toc 1"/>
    <w:basedOn w:val="a"/>
    <w:next w:val="a"/>
    <w:autoRedefine/>
    <w:uiPriority w:val="39"/>
    <w:unhideWhenUsed/>
    <w:pPr>
      <w:spacing w:after="100" w:line="256" w:lineRule="auto"/>
      <w:ind w:firstLine="0"/>
      <w:jc w:val="left"/>
    </w:pPr>
    <w:rPr>
      <w:rFonts w:asciiTheme="minorHAnsi" w:hAnsiTheme="minorHAnsi"/>
      <w:sz w:val="22"/>
    </w:rPr>
  </w:style>
  <w:style w:type="paragraph" w:styleId="22">
    <w:name w:val="toc 2"/>
    <w:basedOn w:val="a"/>
    <w:next w:val="a"/>
    <w:autoRedefine/>
    <w:uiPriority w:val="39"/>
    <w:unhideWhenUsed/>
    <w:pPr>
      <w:spacing w:after="100" w:line="256" w:lineRule="auto"/>
      <w:ind w:left="220" w:firstLine="0"/>
      <w:jc w:val="left"/>
    </w:pPr>
    <w:rPr>
      <w:rFonts w:asciiTheme="minorHAnsi" w:hAnsiTheme="minorHAnsi"/>
      <w:sz w:val="22"/>
    </w:rPr>
  </w:style>
  <w:style w:type="paragraph" w:styleId="32">
    <w:name w:val="toc 3"/>
    <w:basedOn w:val="a"/>
    <w:next w:val="a"/>
    <w:autoRedefine/>
    <w:uiPriority w:val="39"/>
    <w:unhideWhenUsed/>
    <w:pPr>
      <w:spacing w:after="100" w:line="256" w:lineRule="auto"/>
      <w:ind w:left="440" w:firstLine="0"/>
      <w:jc w:val="left"/>
    </w:pPr>
    <w:rPr>
      <w:rFonts w:asciiTheme="minorHAnsi" w:hAnsiTheme="minorHAnsi"/>
      <w:sz w:val="22"/>
    </w:rPr>
  </w:style>
  <w:style w:type="paragraph" w:styleId="af0">
    <w:name w:val="footnote text"/>
    <w:basedOn w:val="a"/>
    <w:link w:val="af1"/>
    <w:uiPriority w:val="99"/>
    <w:semiHidden/>
    <w:unhideWhenUsed/>
    <w:pPr>
      <w:spacing w:after="0" w:line="240" w:lineRule="auto"/>
      <w:ind w:firstLine="0"/>
      <w:jc w:val="left"/>
    </w:pPr>
    <w:rPr>
      <w:rFonts w:asciiTheme="minorHAnsi" w:hAnsiTheme="minorHAnsi"/>
      <w:sz w:val="20"/>
      <w:szCs w:val="20"/>
    </w:rPr>
  </w:style>
  <w:style w:type="character" w:customStyle="1" w:styleId="af1">
    <w:name w:val="Текст сноски Знак"/>
    <w:basedOn w:val="a0"/>
    <w:link w:val="af0"/>
    <w:uiPriority w:val="99"/>
    <w:semiHidden/>
    <w:rPr>
      <w:sz w:val="20"/>
      <w:szCs w:val="20"/>
    </w:rPr>
  </w:style>
  <w:style w:type="paragraph" w:styleId="af2">
    <w:name w:val="annotation text"/>
    <w:basedOn w:val="a"/>
    <w:link w:val="af3"/>
    <w:uiPriority w:val="99"/>
    <w:semiHidden/>
    <w:unhideWhenUsed/>
    <w:pPr>
      <w:spacing w:line="240" w:lineRule="auto"/>
      <w:ind w:firstLine="0"/>
      <w:jc w:val="left"/>
    </w:pPr>
    <w:rPr>
      <w:rFonts w:asciiTheme="minorHAnsi" w:hAnsiTheme="minorHAnsi"/>
      <w:sz w:val="20"/>
      <w:szCs w:val="20"/>
    </w:rPr>
  </w:style>
  <w:style w:type="character" w:customStyle="1" w:styleId="af3">
    <w:name w:val="Текст примечания Знак"/>
    <w:basedOn w:val="a0"/>
    <w:link w:val="af2"/>
    <w:uiPriority w:val="99"/>
    <w:semiHidden/>
    <w:rPr>
      <w:sz w:val="20"/>
      <w:szCs w:val="20"/>
    </w:rPr>
  </w:style>
  <w:style w:type="paragraph" w:styleId="af4">
    <w:name w:val="Body Text"/>
    <w:aliases w:val="bt"/>
    <w:basedOn w:val="a"/>
    <w:link w:val="af5"/>
    <w:semiHidden/>
    <w:unhideWhenUsed/>
    <w:qFormat/>
    <w:pPr>
      <w:spacing w:before="120" w:after="0" w:line="240" w:lineRule="exact"/>
      <w:ind w:firstLine="0"/>
    </w:pPr>
    <w:rPr>
      <w:rFonts w:eastAsia="Times New Roman" w:cs="Times New Roman"/>
      <w:kern w:val="20"/>
      <w:sz w:val="22"/>
    </w:rPr>
  </w:style>
  <w:style w:type="character" w:customStyle="1" w:styleId="af5">
    <w:name w:val="Основной текст Знак"/>
    <w:aliases w:val="bt Знак"/>
    <w:basedOn w:val="a0"/>
    <w:link w:val="af4"/>
    <w:semiHidden/>
    <w:rPr>
      <w:rFonts w:ascii="Times New Roman" w:eastAsia="Times New Roman" w:hAnsi="Times New Roman" w:cs="Times New Roman"/>
      <w:kern w:val="20"/>
    </w:rPr>
  </w:style>
  <w:style w:type="paragraph" w:styleId="2">
    <w:name w:val="List 2"/>
    <w:basedOn w:val="a"/>
    <w:uiPriority w:val="2"/>
    <w:semiHidden/>
    <w:unhideWhenUsed/>
    <w:qFormat/>
    <w:pPr>
      <w:numPr>
        <w:ilvl w:val="1"/>
        <w:numId w:val="4"/>
      </w:numPr>
      <w:spacing w:line="256" w:lineRule="auto"/>
      <w:ind w:left="566" w:hanging="283"/>
      <w:contextualSpacing/>
      <w:jc w:val="left"/>
    </w:pPr>
    <w:rPr>
      <w:rFonts w:asciiTheme="minorHAnsi" w:hAnsiTheme="minorHAnsi"/>
      <w:sz w:val="22"/>
    </w:rPr>
  </w:style>
  <w:style w:type="paragraph" w:styleId="3">
    <w:name w:val="List 3"/>
    <w:aliases w:val="IFAC ListStyle 3,ls3"/>
    <w:basedOn w:val="2"/>
    <w:next w:val="af4"/>
    <w:uiPriority w:val="2"/>
    <w:semiHidden/>
    <w:unhideWhenUsed/>
    <w:qFormat/>
    <w:pPr>
      <w:numPr>
        <w:ilvl w:val="2"/>
      </w:numPr>
      <w:tabs>
        <w:tab w:val="left" w:pos="720"/>
        <w:tab w:val="left" w:pos="1814"/>
      </w:tabs>
      <w:spacing w:before="120" w:after="0" w:line="240" w:lineRule="exact"/>
      <w:ind w:left="1814"/>
      <w:contextualSpacing w:val="0"/>
      <w:jc w:val="both"/>
      <w:outlineLvl w:val="2"/>
    </w:pPr>
    <w:rPr>
      <w:rFonts w:ascii="Times New Roman" w:hAnsi="Times New Roman" w:cs="Times New Roman"/>
      <w:spacing w:val="-2"/>
      <w:sz w:val="20"/>
      <w:szCs w:val="20"/>
      <w:lang w:val="en-US"/>
    </w:rPr>
  </w:style>
  <w:style w:type="paragraph" w:styleId="4">
    <w:name w:val="List 4"/>
    <w:aliases w:val="IFAC ListStyle 4,ls4"/>
    <w:basedOn w:val="3"/>
    <w:next w:val="af4"/>
    <w:uiPriority w:val="2"/>
    <w:semiHidden/>
    <w:unhideWhenUsed/>
    <w:qFormat/>
    <w:pPr>
      <w:numPr>
        <w:ilvl w:val="3"/>
      </w:numPr>
      <w:tabs>
        <w:tab w:val="clear" w:pos="1814"/>
        <w:tab w:val="left" w:pos="2362"/>
      </w:tabs>
      <w:ind w:left="2361"/>
      <w:outlineLvl w:val="3"/>
    </w:pPr>
  </w:style>
  <w:style w:type="paragraph" w:styleId="5">
    <w:name w:val="List 5"/>
    <w:aliases w:val="IFAC ListStyle 5,ls5"/>
    <w:basedOn w:val="4"/>
    <w:next w:val="af4"/>
    <w:uiPriority w:val="2"/>
    <w:semiHidden/>
    <w:unhideWhenUsed/>
    <w:qFormat/>
    <w:pPr>
      <w:numPr>
        <w:ilvl w:val="4"/>
      </w:numPr>
      <w:tabs>
        <w:tab w:val="clear" w:pos="2362"/>
        <w:tab w:val="left" w:pos="2909"/>
      </w:tabs>
      <w:ind w:left="2909"/>
      <w:outlineLvl w:val="4"/>
    </w:pPr>
  </w:style>
  <w:style w:type="paragraph" w:styleId="af6">
    <w:name w:val="annotation subject"/>
    <w:basedOn w:val="af2"/>
    <w:next w:val="af2"/>
    <w:link w:val="af7"/>
    <w:uiPriority w:val="99"/>
    <w:semiHidden/>
    <w:unhideWhenUsed/>
    <w:rPr>
      <w:b/>
      <w:bCs/>
    </w:rPr>
  </w:style>
  <w:style w:type="character" w:customStyle="1" w:styleId="af7">
    <w:name w:val="Тема примечания Знак"/>
    <w:basedOn w:val="af3"/>
    <w:link w:val="af6"/>
    <w:uiPriority w:val="99"/>
    <w:semiHidden/>
    <w:rPr>
      <w:b/>
      <w:bCs/>
      <w:sz w:val="20"/>
      <w:szCs w:val="20"/>
    </w:rPr>
  </w:style>
  <w:style w:type="paragraph" w:styleId="af8">
    <w:name w:val="Balloon Text"/>
    <w:basedOn w:val="a"/>
    <w:link w:val="af9"/>
    <w:uiPriority w:val="99"/>
    <w:semiHidden/>
    <w:unhideWhenUsed/>
    <w:pPr>
      <w:spacing w:after="0" w:line="240" w:lineRule="auto"/>
      <w:ind w:firstLine="0"/>
      <w:jc w:val="left"/>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Revision"/>
    <w:uiPriority w:val="99"/>
    <w:semiHidden/>
    <w:pPr>
      <w:spacing w:after="0" w:line="240" w:lineRule="auto"/>
    </w:pPr>
  </w:style>
  <w:style w:type="paragraph" w:styleId="afb">
    <w:name w:val="TOC Heading"/>
    <w:basedOn w:val="1"/>
    <w:next w:val="a"/>
    <w:uiPriority w:val="39"/>
    <w:unhideWhenUsed/>
    <w:qFormat/>
    <w:pPr>
      <w:numPr>
        <w:numId w:val="0"/>
      </w:numPr>
      <w:spacing w:line="256" w:lineRule="auto"/>
      <w:outlineLvl w:val="9"/>
    </w:pPr>
    <w:rPr>
      <w:b w:val="0"/>
      <w:color w:val="2E74B5" w:themeColor="accent1" w:themeShade="BF"/>
      <w:lang w:eastAsia="ru-RU"/>
    </w:rPr>
  </w:style>
  <w:style w:type="paragraph" w:customStyle="1" w:styleId="TableParagraph">
    <w:name w:val="Table Paragraph"/>
    <w:basedOn w:val="a"/>
    <w:uiPriority w:val="1"/>
    <w:qFormat/>
    <w:pPr>
      <w:widowControl w:val="0"/>
      <w:spacing w:after="0" w:line="240" w:lineRule="auto"/>
      <w:ind w:firstLine="0"/>
      <w:jc w:val="left"/>
    </w:pPr>
    <w:rPr>
      <w:rFonts w:ascii="Calibri" w:eastAsia="Calibri" w:hAnsi="Calibri" w:cs="Times New Roman"/>
      <w:sz w:val="22"/>
      <w:lang w:val="en-US"/>
    </w:rPr>
  </w:style>
  <w:style w:type="paragraph" w:customStyle="1" w:styleId="level2">
    <w:name w:val="level 2"/>
    <w:basedOn w:val="a"/>
    <w:pPr>
      <w:tabs>
        <w:tab w:val="right" w:pos="360"/>
        <w:tab w:val="left" w:pos="576"/>
      </w:tabs>
      <w:spacing w:after="0" w:line="240" w:lineRule="auto"/>
      <w:ind w:left="1008" w:hanging="432"/>
      <w:jc w:val="left"/>
    </w:pPr>
    <w:rPr>
      <w:rFonts w:eastAsia="Times New Roman" w:cs="Times New Roman"/>
      <w:szCs w:val="24"/>
      <w:lang w:val="en-US"/>
    </w:rPr>
  </w:style>
  <w:style w:type="paragraph" w:customStyle="1" w:styleId="List1">
    <w:name w:val="List 1"/>
    <w:aliases w:val="IFAC ListStyle 1,ls1"/>
    <w:next w:val="af4"/>
    <w:uiPriority w:val="2"/>
    <w:qFormat/>
    <w:pPr>
      <w:numPr>
        <w:numId w:val="5"/>
      </w:numPr>
      <w:tabs>
        <w:tab w:val="left" w:pos="720"/>
      </w:tabs>
      <w:spacing w:before="120" w:after="0" w:line="240" w:lineRule="exact"/>
      <w:ind w:left="734" w:hanging="547"/>
      <w:jc w:val="both"/>
    </w:pPr>
    <w:rPr>
      <w:rFonts w:ascii="Times New Roman" w:hAnsi="Times New Roman" w:cs="Times New Roman"/>
      <w:spacing w:val="-2"/>
      <w:sz w:val="20"/>
      <w:szCs w:val="20"/>
      <w:lang w:val="en-US"/>
    </w:rPr>
  </w:style>
  <w:style w:type="paragraph" w:customStyle="1" w:styleId="IFACBulletList1">
    <w:name w:val="IFAC BulletList 1"/>
    <w:aliases w:val="bl1"/>
    <w:basedOn w:val="a"/>
    <w:autoRedefine/>
    <w:qFormat/>
    <w:pPr>
      <w:numPr>
        <w:numId w:val="6"/>
      </w:numPr>
      <w:tabs>
        <w:tab w:val="left" w:pos="547"/>
      </w:tabs>
      <w:spacing w:before="60" w:after="60" w:line="280" w:lineRule="exact"/>
      <w:ind w:left="547" w:hanging="547"/>
    </w:pPr>
    <w:rPr>
      <w:rFonts w:ascii="Arial" w:eastAsia="Times New Roman" w:hAnsi="Arial" w:cs="Times New Roman"/>
      <w:kern w:val="8"/>
      <w:sz w:val="20"/>
      <w:szCs w:val="24"/>
      <w:lang w:eastAsia="ru-RU" w:bidi="ru-RU"/>
    </w:rPr>
  </w:style>
  <w:style w:type="paragraph" w:customStyle="1" w:styleId="IFACBulletList3">
    <w:name w:val="IFAC BulletList 3"/>
    <w:aliases w:val="bl3"/>
    <w:basedOn w:val="a"/>
    <w:autoRedefine/>
    <w:qFormat/>
    <w:pPr>
      <w:numPr>
        <w:ilvl w:val="2"/>
        <w:numId w:val="6"/>
      </w:numPr>
      <w:tabs>
        <w:tab w:val="left" w:pos="1642"/>
      </w:tabs>
      <w:spacing w:before="120" w:after="0" w:line="280" w:lineRule="exact"/>
    </w:pPr>
    <w:rPr>
      <w:rFonts w:ascii="Arial" w:eastAsia="Times New Roman" w:hAnsi="Arial" w:cs="Times New Roman"/>
      <w:kern w:val="8"/>
      <w:sz w:val="20"/>
      <w:szCs w:val="24"/>
      <w:lang w:eastAsia="ru-RU" w:bidi="ru-RU"/>
    </w:rPr>
  </w:style>
  <w:style w:type="character" w:styleId="afc">
    <w:name w:val="footnote reference"/>
    <w:basedOn w:val="a0"/>
    <w:uiPriority w:val="99"/>
    <w:semiHidden/>
    <w:unhideWhenUsed/>
    <w:rPr>
      <w:vertAlign w:val="superscript"/>
    </w:rPr>
  </w:style>
  <w:style w:type="character" w:styleId="afd">
    <w:name w:val="annotation reference"/>
    <w:basedOn w:val="a0"/>
    <w:uiPriority w:val="99"/>
    <w:semiHidden/>
    <w:unhideWhenUsed/>
    <w:rPr>
      <w:sz w:val="16"/>
      <w:szCs w:val="16"/>
    </w:rPr>
  </w:style>
  <w:style w:type="character" w:customStyle="1" w:styleId="12">
    <w:name w:val="Основной текст Знак1"/>
    <w:basedOn w:val="a0"/>
    <w:uiPriority w:val="99"/>
    <w:semiHidden/>
  </w:style>
  <w:style w:type="table" w:styleId="afe">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
    <w:name w:val="IFAC Numbered List"/>
    <w:uiPriority w:val="99"/>
    <w:pPr>
      <w:numPr>
        <w:numId w:val="4"/>
      </w:numPr>
    </w:pPr>
  </w:style>
  <w:style w:type="paragraph" w:styleId="aff">
    <w:name w:val="Normal (Web)"/>
    <w:basedOn w:val="a"/>
    <w:uiPriority w:val="99"/>
    <w:semiHidden/>
    <w:unhideWhenUsed/>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632">
      <w:bodyDiv w:val="1"/>
      <w:marLeft w:val="0"/>
      <w:marRight w:val="0"/>
      <w:marTop w:val="0"/>
      <w:marBottom w:val="0"/>
      <w:divBdr>
        <w:top w:val="none" w:sz="0" w:space="0" w:color="auto"/>
        <w:left w:val="none" w:sz="0" w:space="0" w:color="auto"/>
        <w:bottom w:val="none" w:sz="0" w:space="0" w:color="auto"/>
        <w:right w:val="none" w:sz="0" w:space="0" w:color="auto"/>
      </w:divBdr>
    </w:div>
    <w:div w:id="21091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D98B-BCCE-4203-99A2-A082C440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Ежова</dc:creator>
  <cp:keywords/>
  <dc:description/>
  <cp:lastModifiedBy>ВахитоваНВ</cp:lastModifiedBy>
  <cp:revision>2</cp:revision>
  <dcterms:created xsi:type="dcterms:W3CDTF">2019-07-30T14:42:00Z</dcterms:created>
  <dcterms:modified xsi:type="dcterms:W3CDTF">2019-07-30T14:42:00Z</dcterms:modified>
</cp:coreProperties>
</file>