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38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"/>
        <w:gridCol w:w="33"/>
        <w:gridCol w:w="826"/>
        <w:gridCol w:w="976"/>
        <w:gridCol w:w="1567"/>
        <w:gridCol w:w="583"/>
        <w:gridCol w:w="1652"/>
        <w:gridCol w:w="827"/>
        <w:gridCol w:w="923"/>
        <w:gridCol w:w="8"/>
        <w:gridCol w:w="1927"/>
        <w:gridCol w:w="1184"/>
        <w:gridCol w:w="8"/>
      </w:tblGrid>
      <w:tr>
        <w:trPr>
          <w:gridAfter w:val="11"/>
          <w:wAfter w:w="10481" w:type="dxa"/>
          <w:trHeight w:hRule="exact" w:val="57"/>
        </w:trPr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>
        <w:trPr>
          <w:gridBefore w:val="1"/>
          <w:gridAfter w:val="1"/>
          <w:wBefore w:w="24" w:type="dxa"/>
          <w:wAfter w:w="8" w:type="dxa"/>
          <w:trHeight w:val="57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лицо:</w:t>
            </w:r>
          </w:p>
        </w:tc>
        <w:tc>
          <w:tcPr>
            <w:tcW w:w="8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gridBefore w:val="1"/>
          <w:gridAfter w:val="1"/>
          <w:wBefore w:w="24" w:type="dxa"/>
          <w:wAfter w:w="8" w:type="dxa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Договор (дата, номер)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Выполнил: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>
        <w:trPr>
          <w:gridBefore w:val="1"/>
          <w:gridAfter w:val="1"/>
          <w:wBefore w:w="24" w:type="dxa"/>
          <w:wAfter w:w="8" w:type="dxa"/>
        </w:trPr>
        <w:tc>
          <w:tcPr>
            <w:tcW w:w="1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21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Проверил:</w:t>
            </w:r>
          </w:p>
        </w:tc>
        <w:tc>
          <w:tcPr>
            <w:tcW w:w="17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Helvetica" w:hAnsi="Helvetica"/>
                <w:sz w:val="24"/>
                <w:szCs w:val="24"/>
              </w:rPr>
            </w:pPr>
          </w:p>
        </w:tc>
        <w:tc>
          <w:tcPr>
            <w:tcW w:w="19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Дата:</w:t>
            </w:r>
          </w:p>
        </w:tc>
        <w:tc>
          <w:tcPr>
            <w:tcW w:w="1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</w:tcPr>
          <w:p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Helvetica" w:hAnsi="Helvetica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34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процедуры: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I. Вопросник</w:t>
            </w:r>
          </w:p>
        </w:tc>
        <w:tc>
          <w:tcPr>
            <w:tcW w:w="71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142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142" w:right="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Проверка соблюдения законов 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нормативных актов</w:t>
            </w: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142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142" w:right="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>
        <w:trPr>
          <w:gridAfter w:val="11"/>
          <w:wAfter w:w="10481" w:type="dxa"/>
          <w:trHeight w:val="57"/>
        </w:trPr>
        <w:tc>
          <w:tcPr>
            <w:tcW w:w="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755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Вопрос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Ответ Да/Нет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>
        <w:tc>
          <w:tcPr>
            <w:tcW w:w="10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Выявление угроз ПОД/ФТ и не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соблюдения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нормативных актов 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этой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области [применимо для всех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аудируемых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лиц]</w:t>
            </w: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Относится ли организация к группе повышенного риска (кредитная организация,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микрофинансовая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организация, кредитно-потребительский кооператив?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Имеются ли в деятельности организации операции, относящиеся к используемым в схемах ОД/ФТ, либо сама организация осуществляет такую деятельность?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Операции на рынке драгоценных металлов и драгоценных камней (риски использования нелегальных и полулегальных способов ухода от уплаты налогов, в том числе НДС, незаконная добыча драгоценного металла, незаконный аффинаж и контрабанда драгоценных камней);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систем денежных переводов (преимущественно из Центральной и Восточной Азии, Украины);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рынка ценных бумаг (векселя на предъявителя, вывод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зарубеж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наличных денежных средств и денежных инструментов, перемещаемых через таможенную границу ЕАЭС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недекларирование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(либо недостоверное декларирование), а также контрабанда наличных денежных средств и (или) денежных инструментов);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страховых операций (большие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страховые премии, несоответствующие рыночным ставкам могут свидетельствовать о выводе средств через перестрахование);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недвижимого имущества (расчеты с физическим лицом за наличные, использование ипотечного кредитования), инвестиционные сделки в строительство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услуг Почты России (переводы денежных средств от юридического лица в адрес физических лиц);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услуг нотариусов (депозитные счета нотариусов и исполнительные надписи нотариусов);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лизингового сектора (специфические условия, нерыночные платежи);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услуг операторов сотовой связи (неконтролируемый наличный оборот с участием физических лиц и юридических лиц с признаками фиктивности);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ломбардов (нерыночные условия осуществления операций, выплаты);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использование операторов по приему платежей (третьи лица-заказчики наличности,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осуществляют  безналичные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денежные средства на счета платежных и банковских платежных агентов (субагентов);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других финансовых секторов и УНФПП (общества взаимного страхования, паевые инвестиционные фонды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ПИФы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управляющие компании инвестиционных фондов, негосударственные пенсионные фонды (НПФ), аудиторы, адвокаты, факторинг, игорный сектор, юристы, бухгалтеры;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неформальных систем денежных переводов 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Хавала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r>
              <w:rPr>
                <w:rFonts w:ascii="Times New Roman" w:hAnsi="Times New Roman"/>
                <w:sz w:val="24"/>
                <w:szCs w:val="24"/>
              </w:rPr>
              <w:t>1.2.1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виртуальных валют (типа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биткоин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 пр.).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hRule="exact" w:val="755"/>
        </w:trP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10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417" w:righ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А1. Организация контроля за соблюдением нормативных актов в области ПОД/ФТ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[применимо для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аудируемых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лиц, осуществляющих операции с денежными средствами и имуществом согласно п. 7 Федерального закона «О противодействии легализации 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(отмыванию) доходов, полученных преступным путем, и финансированию терроризма» от 07.08.2001 N 115-ФЗ]</w:t>
            </w: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А1.1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Осведомлено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 о существующих нормативно-правовых актах в области противодействия легализации (отмыванию) доходов, полученных преступным путем, и финансированию терроризма, и отражены ли требования соответствующих актов во внутренних положениях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А1.2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Какие внутренние документы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включают положения о ПОД/ФТ?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А1.3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Разработана 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 система внутреннего контроля за соответствием требованиям законодательства о ПОД/ФТ, противодействии коррупции, противодействии подкупу иностранных должностных лиц и обеспечено ли ее функционирование из закреплены ли указанные процедуры в официально утвержденных документах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А1.4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Назначено ли ответственное лицо за обновление, соответствие законодательству и исполнение внутренних документов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в сфере противодействия легализации (отмыванию) доходов, полученных преступным путем и финансированию терроризма, противодействия коррупции, противодействия подкупу иностранных должностных лиц?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А1.5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ли условия, обеспечивающие ознакомление и понимание всеми сотрудниками и руководством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указанных процедур и соответствующих внутренних документов и каким образом и с какой периодичностью осуществляется такое ознакомление?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А1.6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Осуществляется ли в организации мониторинг изменений нормативных правовых актов в сфере противодействия легализации (отмыванию) доходов, полученных преступным путем и финансированию терроризма?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А1.7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Установлены 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 процедуры для предварительных внутренних рассмотрений ситуаций, связанных с угрозами нарушения законодательства в области противодействия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легализации (отмыванию) доходов, полученных преступным путем и финансированию терроризма?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А1.8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ли кодекс корпоративного поведения организации (или аналогичный документ) установленным законодательным требованиям или рекомендациям (где применимо), а также общим принципам противодействия легализации (отмыванию) доходов, полученных преступным путем и финансированию терроризма?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А1.9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 ли случаи, когда от имени или в интересах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осуществлялись организация, подготовка и совершение правонарушений в сфере противодействия легализации (отмыванию) доходов, полученных преступным путем и финансированию терроризма?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0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Организация контроля за соблюдением нормативных актов в части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 области противодействия коррупции</w:t>
            </w: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Осведомлено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 о существующих нормативно-правовых актах в области противодействия коррупции, и отражены ли требования соответствующих актов во внутренних положениях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Осведомлено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 о существующих нормативно-правовых актах в области противодействия подкупа иностранных должностных лиц, и отражены ли требования соответствующих актов во внутренних положениях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[если применимо]?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Включают ли внутренние документы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положения о противодействии коррупции?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Включают ли внутренние документы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положения о противодействии подкупу иностранных должностных лиц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[если применимо]?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Созданы ли условия, обеспечивающие ознакомление и понимание всеми сотрудниками и руководством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указанных процедур и соответствующих внутренних документов и каким образом и с какой периодичностью осуществляется такое ознакомление?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в организации мониторинг изменений нормативных правовых актов в сфере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противодействия коррупции и (если применимо) противодействия подкупу иностранных должностных лиц?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Установлены ли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 процедуры для предварительных внутренних рассмотрений ситуаций, связанных с угрозами нарушения законодательства в области противодействия коррупции, противодействия подкупу иностранных должностных лиц?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Соответствует ли кодекс корпоративного поведения организации (или аналогичный документ) установленным законодательным требованиям или рекомендациям (где применимо), а также общим принципам противодействия коррупции, противодействия подкупу иностранных должностных лиц?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 ли случаи, когда от имени или в интересах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осуществлялись организация, подготовка и совершение правонарушений в сфере противодействия коррупции и противодействия подкупу иностранных должностных лиц?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РФ, в течение двух лет после его увольнения с государственной или муниципальной службы сообщило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 в установленный срок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Соблюдают ли сотрудники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требования законодательства РФ в части ограничения стоимости подарков при поздравлении государственных служащих?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10538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5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контроля за соблюдением нормативных актов в других областях</w:t>
            </w: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Ведется ли реестр нормативных правовых актов, требования которых должны соблюдаться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лицом в процессе деятельности?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Проверяется ли при приеме на работу право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сотрудника занимать определенные должности для материально ответственных лиц и иных лиц, претендующих на должности, связанные с участием в распоряжении материальными ценностями или управлением организацией?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Совершались 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лицом безвозмездные операции (сделки) 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периода и если да, соответствуют ли они требованиям российского законодательства о дарении между юридическими лицами, корпоративному праву и законодательству о благотворительной деятельности?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Подтверждаются ли полномочия лиц, уполномоченных на совершение финансовых операций от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лица? 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Осуществляется ли и в каком порядке отзыв выданных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лицом доверенностей, в том числе на совершение финансовых операций от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Существуют ли специальные процедуры одобрения для крупных или иных сделок?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Регламентирована ли закупочная деятельность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Были ли уклонения от установленных процедур по закупках в течение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периода и по каким основаниям?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Кто и каким образом принимает решения о закупках и одобрении соответствующих расходов от имени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лица?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5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[при необходимости – добавьте вопросы по любых другим областям]</w:t>
            </w:r>
          </w:p>
        </w:tc>
        <w:tc>
          <w:tcPr>
            <w:tcW w:w="9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29" w:after="29" w:line="240" w:lineRule="auto"/>
        <w:ind w:right="57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29" w:after="29" w:line="240" w:lineRule="auto"/>
        <w:ind w:right="57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/>
          <w:bCs/>
          <w:sz w:val="24"/>
          <w:szCs w:val="24"/>
        </w:rPr>
        <w:t>. Аудиторские процедуры</w:t>
      </w:r>
    </w:p>
    <w:p>
      <w:pPr>
        <w:widowControl w:val="0"/>
        <w:autoSpaceDE w:val="0"/>
        <w:autoSpaceDN w:val="0"/>
        <w:adjustRightInd w:val="0"/>
        <w:spacing w:before="29" w:after="29" w:line="240" w:lineRule="auto"/>
        <w:ind w:right="57"/>
        <w:rPr>
          <w:rFonts w:ascii="Times New Roman" w:hAnsi="Times New Roman"/>
          <w:sz w:val="24"/>
          <w:szCs w:val="24"/>
        </w:rPr>
      </w:pPr>
    </w:p>
    <w:tbl>
      <w:tblPr>
        <w:tblW w:w="10506" w:type="dxa"/>
        <w:tblInd w:w="-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3"/>
        <w:gridCol w:w="5014"/>
        <w:gridCol w:w="1774"/>
        <w:gridCol w:w="2835"/>
      </w:tblGrid>
      <w:tr>
        <w:trPr>
          <w:trHeight w:hRule="exact" w:val="755"/>
        </w:trP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Номер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Процедура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Необходимость выполнения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>
        <w:trPr>
          <w:trHeight w:hRule="exact" w:val="474"/>
        </w:trPr>
        <w:tc>
          <w:tcPr>
            <w:tcW w:w="10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Аудиторские процедуры общего характера</w:t>
            </w: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Ознакомление с протоколами заседаний органов управления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1.2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запросов руководству и внутреннему юристу или внешнему юристу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относительно судебных разбирательств, исков и оценочных показателей.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средств контроля в части соблюдения требований законодательства о противодействии легализации (отмыванию) доходов, полученных преступным путем и финансированию терроризма.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.4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Детальное тестирование по существу в отношении подробностей операций, указывающих на возможное несоблюдение требований законодательства о противодействии легализации (отмыванию) доходов, полученных преступным путем и финансированию терроризма.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конфиденциальности информации о сообщении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аудируемыми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лицами установленных законодательством РФ сведений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ходе сбора и документирования аудиторских доказательств, а также обеспечение соблюдения прав субъектов персональных данных.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 средств контроля в части соблюдения требований законодательства о противодействии коррупции и противодействии подкупу иностранных должностных лиц.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Детальное тестирование по существу в отношении подробностей операций, указывающих на возможное несоблюдение требований законодательства о противодействии коррупции и противодействии подкупу иностранных должностных лиц.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773"/>
        </w:trPr>
        <w:tc>
          <w:tcPr>
            <w:tcW w:w="105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pStyle w:val="a5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9" w:after="29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Аудиторские процедуры при выявлении несоблюдения или подозрении в несоблюдении законов и нормативных актов</w:t>
            </w: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понимания характера несоблюдения законодательства и обстоятельств, в которых оно имело место, и дополнительной информации для оценки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возможного влияния такого несоблюдения законодательства на финансовую отчетность.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выводов с руководством, а также с лицами, отвечающими за корпоративное управление, если они могут обеспечить предоставление дополнительных аудиторских доказательств.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 с внутренним юристом или с внешним юристом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относительно применения законов и нормативных актов к данным обстоятельствам в случае, если руководство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или лица, отвечающие за корпоративное управление, не обеспечивают предоставление достаточной информации, подтверждающей факт соблюдения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лицом законов и нормативных актов и, по мнению аудитора, влияние несоблюдения, в котором он подозревает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лицо, может оказаться существенным для финансовой отчетности.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наличии любых оснований полагать, что сделки или финансовые операции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могли или могут быть осуществлены в целях легализации (отмывания) доходов, полученных преступным путем, или финансирования терроризма, анализ того, могут ли быть такие сделки объяснены с позиции нормальных, законных целей/обстоятельств хозяйственной деятельности.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5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Если объяснение не удовлетворительно, уведомление о сделке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Росфинмониторинг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(через личный кабинет).</w:t>
            </w:r>
          </w:p>
        </w:tc>
        <w:tc>
          <w:tcPr>
            <w:tcW w:w="1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>. Оценка последствий несоблюдения законов и нормативных актов (вывод)</w:t>
      </w:r>
    </w:p>
    <w:p>
      <w:pPr>
        <w:widowControl w:val="0"/>
        <w:autoSpaceDE w:val="0"/>
        <w:autoSpaceDN w:val="0"/>
        <w:adjustRightInd w:val="0"/>
        <w:spacing w:before="29" w:after="29" w:line="240" w:lineRule="auto"/>
        <w:ind w:left="57" w:right="57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931" w:type="dxa"/>
        <w:tblInd w:w="-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4"/>
        <w:gridCol w:w="567"/>
      </w:tblGrid>
      <w:tr>
        <w:trPr>
          <w:trHeight w:val="57"/>
        </w:trPr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нарушения нормативных актов или признаки таких нарушений не обнаружены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Случаи нарушения нормативных актов или признаки таких нарушений обнаружены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Влияние на финансовую отчетность и аудиторское заключение изучено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отвечающие за корпоративное управление и руководство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проинформированы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Лица, отвечающие за корпоративное управление или руководство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аудируемого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лица приняли надлежащие меры по рассмотрению данной информации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rPr>
          <w:trHeight w:val="57"/>
        </w:trPr>
        <w:tc>
          <w:tcPr>
            <w:tcW w:w="9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Необходимость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информирования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госорганов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>
            <w:pPr>
              <w:widowControl w:val="0"/>
              <w:autoSpaceDE w:val="0"/>
              <w:autoSpaceDN w:val="0"/>
              <w:adjustRightInd w:val="0"/>
              <w:spacing w:before="29" w:after="29" w:line="240" w:lineRule="auto"/>
              <w:ind w:left="57" w:right="57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>
      <w:pPr>
        <w:rPr>
          <w:lang w:val="en-US"/>
        </w:rPr>
      </w:pPr>
    </w:p>
    <w:p/>
    <w:p/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  <w:r>
      <w:t>Настоящий шаблон подготовлен с учетом мнения Экспертного совета по МСА СРО РСА и имеет рекомендательный характер. Член РСА вправе применять иные шаблоны рабочих документов, соответствующие требованиям законодательства Российской Федерации об аудиторской деятельности.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1843416"/>
      <w:docPartObj>
        <w:docPartGallery w:val="Page Numbers (Top of Page)"/>
        <w:docPartUnique/>
      </w:docPartObj>
    </w:sdtPr>
    <w:sdtContent>
      <w:p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>
    <w:pPr>
      <w:pStyle w:val="a6"/>
    </w:pPr>
    <w:r>
      <w:t>РД 250 Соблюдение требований нормативных актов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E23EC"/>
    <w:multiLevelType w:val="hybridMultilevel"/>
    <w:tmpl w:val="3A64665C"/>
    <w:lvl w:ilvl="0" w:tplc="465A45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7E0457"/>
    <w:multiLevelType w:val="hybridMultilevel"/>
    <w:tmpl w:val="68261A56"/>
    <w:lvl w:ilvl="0" w:tplc="9D960D1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649CF204-4694-45E8-B90D-8814DE5C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61049-B72A-4025-9EED-8FF72B17E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1985</Words>
  <Characters>11317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Алла Ежова</cp:lastModifiedBy>
  <cp:revision>13</cp:revision>
  <dcterms:created xsi:type="dcterms:W3CDTF">2018-12-03T02:35:00Z</dcterms:created>
  <dcterms:modified xsi:type="dcterms:W3CDTF">2018-12-04T16:45:00Z</dcterms:modified>
</cp:coreProperties>
</file>